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1E1" w14:textId="77777777" w:rsidR="009A1F08" w:rsidRPr="003C7558" w:rsidRDefault="002D5D5F" w:rsidP="003C7558">
      <w:pPr>
        <w:pStyle w:val="TTPTitle"/>
        <w:rPr>
          <w:sz w:val="20"/>
          <w:szCs w:val="20"/>
        </w:rPr>
      </w:pPr>
      <w:r w:rsidRPr="008D15A3">
        <w:rPr>
          <w:sz w:val="20"/>
          <w:szCs w:val="20"/>
        </w:rPr>
        <w:t>Your Paper's Title Starts Here: Please Center</w:t>
      </w:r>
      <w:r w:rsidR="008009E5">
        <w:rPr>
          <w:rFonts w:eastAsia="MS Mincho" w:hint="eastAsia"/>
          <w:sz w:val="20"/>
          <w:szCs w:val="20"/>
          <w:lang w:eastAsia="ja-JP"/>
        </w:rPr>
        <w:t xml:space="preserve"> </w:t>
      </w:r>
      <w:r w:rsidRPr="008D15A3">
        <w:rPr>
          <w:sz w:val="20"/>
          <w:szCs w:val="20"/>
        </w:rPr>
        <w:t>use Helvetica (Arial) 12</w:t>
      </w:r>
    </w:p>
    <w:p w14:paraId="06C3A6E9" w14:textId="77777777" w:rsidR="00A221C6" w:rsidRPr="000B283F" w:rsidRDefault="00A221C6" w:rsidP="008D15A3">
      <w:pPr>
        <w:jc w:val="center"/>
        <w:rPr>
          <w:sz w:val="20"/>
          <w:szCs w:val="20"/>
          <w:vertAlign w:val="superscript"/>
        </w:rPr>
      </w:pPr>
      <w:r w:rsidRPr="000B283F">
        <w:rPr>
          <w:sz w:val="20"/>
          <w:szCs w:val="20"/>
        </w:rPr>
        <w:t>First Author</w:t>
      </w:r>
      <w:r w:rsidRPr="000B283F">
        <w:rPr>
          <w:sz w:val="20"/>
          <w:szCs w:val="20"/>
          <w:vertAlign w:val="superscript"/>
        </w:rPr>
        <w:t>1</w:t>
      </w:r>
      <w:r w:rsidRPr="000B283F">
        <w:rPr>
          <w:sz w:val="20"/>
          <w:szCs w:val="20"/>
        </w:rPr>
        <w:t>, Second Author</w:t>
      </w:r>
      <w:r w:rsidRPr="000B283F">
        <w:rPr>
          <w:sz w:val="20"/>
          <w:szCs w:val="20"/>
          <w:vertAlign w:val="superscript"/>
        </w:rPr>
        <w:t>2</w:t>
      </w:r>
      <w:r w:rsidRPr="000B283F">
        <w:rPr>
          <w:sz w:val="20"/>
          <w:szCs w:val="20"/>
        </w:rPr>
        <w:t>, Third Author</w:t>
      </w:r>
      <w:r w:rsidRPr="000B283F">
        <w:rPr>
          <w:sz w:val="20"/>
          <w:szCs w:val="20"/>
          <w:vertAlign w:val="superscript"/>
        </w:rPr>
        <w:t>3</w:t>
      </w:r>
    </w:p>
    <w:p w14:paraId="1AE6E587" w14:textId="77777777" w:rsidR="00A221C6" w:rsidRPr="008009E5" w:rsidRDefault="00A221C6" w:rsidP="002E0797">
      <w:pPr>
        <w:pStyle w:val="Text"/>
        <w:ind w:firstLine="0"/>
        <w:jc w:val="center"/>
        <w:rPr>
          <w:rFonts w:eastAsia="MS Mincho"/>
          <w:lang w:val="en-GB" w:eastAsia="ja-JP"/>
        </w:rPr>
      </w:pPr>
      <w:r w:rsidRPr="000B283F">
        <w:rPr>
          <w:vertAlign w:val="superscript"/>
          <w:lang w:val="en-GB"/>
        </w:rPr>
        <w:t>1</w:t>
      </w:r>
      <w:r w:rsidRPr="000B283F">
        <w:rPr>
          <w:lang w:val="en-GB"/>
        </w:rPr>
        <w:t xml:space="preserve">First author affiliation, </w:t>
      </w:r>
      <w:r w:rsidRPr="000B283F">
        <w:rPr>
          <w:vertAlign w:val="superscript"/>
          <w:lang w:val="en-GB"/>
        </w:rPr>
        <w:t>2</w:t>
      </w:r>
      <w:r w:rsidRPr="000B283F">
        <w:rPr>
          <w:lang w:val="en-GB"/>
        </w:rPr>
        <w:t>S</w:t>
      </w:r>
      <w:r w:rsidR="00CB2C0D" w:rsidRPr="000B283F">
        <w:rPr>
          <w:lang w:val="en-GB"/>
        </w:rPr>
        <w:t>econd author affiliation</w:t>
      </w:r>
      <w:r w:rsidR="002E0797">
        <w:rPr>
          <w:lang w:val="en-GB"/>
        </w:rPr>
        <w:t>,</w:t>
      </w:r>
      <w:r w:rsidR="002E0797" w:rsidRPr="002E0797">
        <w:t xml:space="preserve"> </w:t>
      </w:r>
      <w:r w:rsidR="002E0797" w:rsidRPr="002E0797">
        <w:rPr>
          <w:lang w:val="en-GB"/>
        </w:rPr>
        <w:t xml:space="preserve">Third </w:t>
      </w:r>
      <w:r w:rsidR="002E0797" w:rsidRPr="000B283F">
        <w:rPr>
          <w:lang w:val="en-GB"/>
        </w:rPr>
        <w:t>author affiliation</w:t>
      </w:r>
      <w:r w:rsidR="00CB2C0D" w:rsidRPr="000B283F">
        <w:rPr>
          <w:lang w:val="en-GB"/>
        </w:rPr>
        <w:t>.</w:t>
      </w:r>
      <w:r w:rsidR="008009E5">
        <w:rPr>
          <w:rFonts w:eastAsia="MS Mincho" w:hint="eastAsia"/>
          <w:lang w:val="en-GB" w:eastAsia="ja-JP"/>
        </w:rPr>
        <w:br/>
        <w:t>Corresponding author email</w:t>
      </w:r>
    </w:p>
    <w:p w14:paraId="27003E51" w14:textId="77777777" w:rsidR="00A221C6" w:rsidRPr="002E0797" w:rsidRDefault="00A221C6" w:rsidP="008D15A3">
      <w:pPr>
        <w:jc w:val="both"/>
        <w:rPr>
          <w:sz w:val="20"/>
          <w:szCs w:val="20"/>
          <w:lang w:val="en-GB"/>
        </w:rPr>
      </w:pPr>
    </w:p>
    <w:p w14:paraId="4F636DD6" w14:textId="77777777" w:rsidR="002E3F51" w:rsidRDefault="002D5D5F" w:rsidP="00F410E2">
      <w:pPr>
        <w:pStyle w:val="para"/>
        <w:rPr>
          <w:i/>
          <w:iCs/>
          <w:kern w:val="2"/>
          <w:lang w:eastAsia="ja-JP"/>
        </w:rPr>
      </w:pPr>
      <w:r w:rsidRPr="008009E5">
        <w:rPr>
          <w:rFonts w:eastAsia="BatangChe"/>
          <w:b/>
          <w:bCs/>
          <w:iCs/>
          <w:kern w:val="2"/>
          <w:lang w:eastAsia="ko-KR"/>
        </w:rPr>
        <w:t>A</w:t>
      </w:r>
      <w:r w:rsidR="00866F11">
        <w:rPr>
          <w:b/>
          <w:bCs/>
          <w:iCs/>
          <w:kern w:val="2"/>
          <w:lang w:eastAsia="ja-JP"/>
        </w:rPr>
        <w:t>bstract</w:t>
      </w:r>
      <w:r w:rsidR="008009E5">
        <w:rPr>
          <w:rFonts w:hint="eastAsia"/>
          <w:b/>
          <w:bCs/>
          <w:iCs/>
          <w:kern w:val="2"/>
          <w:lang w:eastAsia="ja-JP"/>
        </w:rPr>
        <w:t>:</w:t>
      </w:r>
      <w:r w:rsidRPr="000B283F">
        <w:rPr>
          <w:rFonts w:eastAsia="BatangChe"/>
          <w:i/>
          <w:iCs/>
          <w:kern w:val="2"/>
          <w:lang w:eastAsia="ko-KR"/>
        </w:rPr>
        <w:t xml:space="preserve"> Leave one blank line after the title, the author names and the affiliations are also centered. The Author Name font is Times New Roman 10. The Abstract is in single column format with Times New Roman 10 italic. The Abstract should be limited to about </w:t>
      </w:r>
      <w:r w:rsidR="00225FFA" w:rsidRPr="000B283F">
        <w:rPr>
          <w:rFonts w:eastAsia="BatangChe"/>
          <w:i/>
          <w:iCs/>
          <w:kern w:val="2"/>
          <w:lang w:eastAsia="ko-KR"/>
        </w:rPr>
        <w:t>15</w:t>
      </w:r>
      <w:r w:rsidRPr="000B283F">
        <w:rPr>
          <w:rFonts w:eastAsia="BatangChe"/>
          <w:i/>
          <w:iCs/>
          <w:kern w:val="2"/>
          <w:lang w:eastAsia="ko-KR"/>
        </w:rPr>
        <w:t>0 words.</w:t>
      </w:r>
      <w:r w:rsidR="008D15A3" w:rsidRPr="000B283F">
        <w:rPr>
          <w:rFonts w:eastAsia="BatangChe"/>
          <w:i/>
          <w:iCs/>
          <w:kern w:val="2"/>
          <w:lang w:eastAsia="ko-KR"/>
        </w:rPr>
        <w:t xml:space="preserve"> </w:t>
      </w:r>
    </w:p>
    <w:p w14:paraId="34797E5D" w14:textId="77777777" w:rsidR="00866F11" w:rsidRPr="00866F11" w:rsidRDefault="00866F11" w:rsidP="00866F11">
      <w:pPr>
        <w:pStyle w:val="para1"/>
        <w:rPr>
          <w:lang w:eastAsia="ja-JP"/>
        </w:rPr>
      </w:pPr>
    </w:p>
    <w:p w14:paraId="33F18489" w14:textId="77777777" w:rsidR="00866F11" w:rsidRDefault="008009E5" w:rsidP="008009E5">
      <w:pPr>
        <w:pStyle w:val="para1"/>
        <w:ind w:firstLine="0"/>
        <w:rPr>
          <w:szCs w:val="16"/>
          <w:lang w:eastAsia="ja-JP"/>
        </w:rPr>
      </w:pPr>
      <w:r w:rsidRPr="008009E5">
        <w:rPr>
          <w:rFonts w:hint="eastAsia"/>
          <w:b/>
          <w:szCs w:val="16"/>
          <w:lang w:eastAsia="ja-JP"/>
        </w:rPr>
        <w:t>K</w:t>
      </w:r>
      <w:r w:rsidR="00866F11">
        <w:rPr>
          <w:b/>
          <w:szCs w:val="16"/>
          <w:lang w:eastAsia="ja-JP"/>
        </w:rPr>
        <w:t>eywords</w:t>
      </w:r>
      <w:r>
        <w:rPr>
          <w:rFonts w:hint="eastAsia"/>
          <w:b/>
          <w:szCs w:val="16"/>
          <w:lang w:eastAsia="ja-JP"/>
        </w:rPr>
        <w:t xml:space="preserve">: </w:t>
      </w:r>
      <w:r>
        <w:rPr>
          <w:rFonts w:hint="eastAsia"/>
          <w:szCs w:val="16"/>
          <w:lang w:eastAsia="ja-JP"/>
        </w:rPr>
        <w:t xml:space="preserve">Keyword1; </w:t>
      </w:r>
      <w:r>
        <w:rPr>
          <w:szCs w:val="16"/>
          <w:lang w:eastAsia="ja-JP"/>
        </w:rPr>
        <w:t>Keyword2; …</w:t>
      </w:r>
      <w:r>
        <w:rPr>
          <w:rFonts w:hint="eastAsia"/>
          <w:szCs w:val="16"/>
          <w:lang w:eastAsia="ja-JP"/>
        </w:rPr>
        <w:t xml:space="preserve"> maximum keywords </w:t>
      </w:r>
      <w:proofErr w:type="gramStart"/>
      <w:r>
        <w:rPr>
          <w:rFonts w:hint="eastAsia"/>
          <w:szCs w:val="16"/>
          <w:lang w:eastAsia="ja-JP"/>
        </w:rPr>
        <w:t>is</w:t>
      </w:r>
      <w:proofErr w:type="gramEnd"/>
      <w:r>
        <w:rPr>
          <w:rFonts w:hint="eastAsia"/>
          <w:szCs w:val="16"/>
          <w:lang w:eastAsia="ja-JP"/>
        </w:rPr>
        <w:t xml:space="preserve"> 5</w:t>
      </w:r>
    </w:p>
    <w:p w14:paraId="537651F0" w14:textId="77777777" w:rsidR="008009E5" w:rsidRPr="008009E5" w:rsidRDefault="008009E5" w:rsidP="008009E5">
      <w:pPr>
        <w:pStyle w:val="para1"/>
        <w:ind w:firstLine="0"/>
        <w:rPr>
          <w:sz w:val="16"/>
          <w:szCs w:val="16"/>
          <w:lang w:eastAsia="ja-JP"/>
        </w:rPr>
      </w:pPr>
      <w:r>
        <w:rPr>
          <w:rFonts w:hint="eastAsia"/>
          <w:szCs w:val="16"/>
          <w:lang w:eastAsia="ja-JP"/>
        </w:rPr>
        <w:t xml:space="preserve"> </w:t>
      </w:r>
    </w:p>
    <w:p w14:paraId="7D3239AD" w14:textId="77777777" w:rsidR="008009E5" w:rsidRPr="00866F11" w:rsidRDefault="008009E5" w:rsidP="008009E5">
      <w:pPr>
        <w:pStyle w:val="para1"/>
        <w:ind w:firstLine="0"/>
        <w:rPr>
          <w:sz w:val="16"/>
          <w:szCs w:val="16"/>
          <w:lang w:eastAsia="ja-JP"/>
        </w:rPr>
        <w:sectPr w:rsidR="008009E5" w:rsidRPr="00866F11" w:rsidSect="00FF6E3D">
          <w:footerReference w:type="default" r:id="rId7"/>
          <w:headerReference w:type="first" r:id="rId8"/>
          <w:pgSz w:w="11907" w:h="16840" w:code="9"/>
          <w:pgMar w:top="1560" w:right="1134" w:bottom="1170" w:left="1134" w:header="426" w:footer="409" w:gutter="0"/>
          <w:cols w:space="720"/>
          <w:titlePg/>
          <w:docGrid w:linePitch="360"/>
        </w:sectPr>
      </w:pPr>
    </w:p>
    <w:p w14:paraId="0ADBABB8" w14:textId="77777777" w:rsidR="002D5D5F" w:rsidRPr="003C7558" w:rsidRDefault="002D5D5F" w:rsidP="008D15A3">
      <w:pPr>
        <w:jc w:val="both"/>
        <w:rPr>
          <w:b/>
          <w:bCs/>
          <w:sz w:val="8"/>
          <w:szCs w:val="8"/>
        </w:rPr>
      </w:pPr>
    </w:p>
    <w:p w14:paraId="28576DB7" w14:textId="77777777" w:rsidR="002D5D5F" w:rsidRPr="000B283F" w:rsidRDefault="002D5D5F" w:rsidP="000B283F">
      <w:pPr>
        <w:numPr>
          <w:ilvl w:val="0"/>
          <w:numId w:val="1"/>
        </w:numPr>
        <w:ind w:left="284" w:hanging="284"/>
        <w:jc w:val="both"/>
        <w:rPr>
          <w:b/>
          <w:bCs/>
          <w:sz w:val="20"/>
          <w:szCs w:val="20"/>
        </w:rPr>
      </w:pPr>
      <w:r w:rsidRPr="000B283F">
        <w:rPr>
          <w:b/>
          <w:bCs/>
          <w:sz w:val="20"/>
          <w:szCs w:val="20"/>
        </w:rPr>
        <w:t>INTRODUCTION</w:t>
      </w:r>
      <w:r w:rsidR="00EB42E4" w:rsidRPr="000B283F">
        <w:rPr>
          <w:b/>
          <w:bCs/>
          <w:sz w:val="20"/>
          <w:szCs w:val="20"/>
        </w:rPr>
        <w:t xml:space="preserve"> </w:t>
      </w:r>
    </w:p>
    <w:p w14:paraId="3D18BDFA" w14:textId="77777777" w:rsidR="008D15A3" w:rsidRPr="004C29CF" w:rsidRDefault="00F410E2" w:rsidP="009B0163">
      <w:pPr>
        <w:jc w:val="both"/>
        <w:rPr>
          <w:sz w:val="20"/>
          <w:szCs w:val="20"/>
        </w:rPr>
      </w:pPr>
      <w:r w:rsidRPr="000B283F">
        <w:rPr>
          <w:sz w:val="20"/>
          <w:szCs w:val="20"/>
        </w:rPr>
        <w:t>These instructions give you the guidelines for preparing papers for (IEI</w:t>
      </w:r>
      <w:r w:rsidR="009B0163">
        <w:rPr>
          <w:sz w:val="20"/>
          <w:szCs w:val="20"/>
        </w:rPr>
        <w:t>C</w:t>
      </w:r>
      <w:r w:rsidR="00736059">
        <w:rPr>
          <w:sz w:val="20"/>
          <w:szCs w:val="20"/>
        </w:rPr>
        <w:t>ES</w:t>
      </w:r>
      <w:r w:rsidRPr="000B283F">
        <w:rPr>
          <w:sz w:val="20"/>
          <w:szCs w:val="20"/>
        </w:rPr>
        <w:t>). All</w:t>
      </w:r>
      <w:r w:rsidR="001C3F1D">
        <w:rPr>
          <w:sz w:val="20"/>
          <w:szCs w:val="20"/>
        </w:rPr>
        <w:t xml:space="preserve"> manuscripts must be in English</w:t>
      </w:r>
      <w:r w:rsidRPr="000B283F">
        <w:rPr>
          <w:sz w:val="20"/>
          <w:szCs w:val="20"/>
        </w:rPr>
        <w:t xml:space="preserve"> </w:t>
      </w:r>
      <w:r w:rsidR="001C3F1D" w:rsidRPr="001C3F1D">
        <w:rPr>
          <w:sz w:val="20"/>
          <w:szCs w:val="20"/>
        </w:rPr>
        <w:t xml:space="preserve">and </w:t>
      </w:r>
      <w:r w:rsidR="004C29CF" w:rsidRPr="004C29CF">
        <w:rPr>
          <w:sz w:val="20"/>
          <w:szCs w:val="20"/>
        </w:rPr>
        <w:t xml:space="preserve">should be at least </w:t>
      </w:r>
      <w:r w:rsidR="00DC42F2">
        <w:rPr>
          <w:sz w:val="20"/>
          <w:szCs w:val="20"/>
        </w:rPr>
        <w:t>6</w:t>
      </w:r>
      <w:r w:rsidR="004C29CF" w:rsidRPr="004C29CF">
        <w:rPr>
          <w:sz w:val="20"/>
          <w:szCs w:val="20"/>
        </w:rPr>
        <w:t xml:space="preserve"> but no more than </w:t>
      </w:r>
      <w:r w:rsidR="00DC42F2">
        <w:rPr>
          <w:sz w:val="20"/>
          <w:szCs w:val="20"/>
        </w:rPr>
        <w:t>8</w:t>
      </w:r>
      <w:r w:rsidR="004C29CF" w:rsidRPr="004C29CF">
        <w:rPr>
          <w:sz w:val="20"/>
          <w:szCs w:val="20"/>
        </w:rPr>
        <w:t xml:space="preserve"> pages of text using th</w:t>
      </w:r>
      <w:r w:rsidR="004C29CF">
        <w:rPr>
          <w:sz w:val="20"/>
          <w:szCs w:val="20"/>
        </w:rPr>
        <w:t>is</w:t>
      </w:r>
      <w:r w:rsidR="004C29CF" w:rsidRPr="004C29CF">
        <w:rPr>
          <w:sz w:val="20"/>
          <w:szCs w:val="20"/>
        </w:rPr>
        <w:t xml:space="preserve"> word template.</w:t>
      </w:r>
      <w:r w:rsidRPr="000B283F">
        <w:rPr>
          <w:sz w:val="20"/>
          <w:szCs w:val="20"/>
        </w:rPr>
        <w:t xml:space="preserve"> Th</w:t>
      </w:r>
      <w:r w:rsidR="00430D1C">
        <w:rPr>
          <w:sz w:val="20"/>
          <w:szCs w:val="20"/>
        </w:rPr>
        <w:t>e paper should be written in A4</w:t>
      </w:r>
      <w:r w:rsidR="00430D1C">
        <w:rPr>
          <w:rFonts w:eastAsia="MS Mincho" w:hint="eastAsia"/>
          <w:sz w:val="20"/>
          <w:szCs w:val="20"/>
          <w:lang w:eastAsia="ja-JP"/>
        </w:rPr>
        <w:t xml:space="preserve"> </w:t>
      </w:r>
      <w:r w:rsidRPr="000B283F">
        <w:rPr>
          <w:sz w:val="20"/>
          <w:szCs w:val="20"/>
        </w:rPr>
        <w:t>siz</w:t>
      </w:r>
      <w:r w:rsidR="001C3F1D">
        <w:rPr>
          <w:sz w:val="20"/>
          <w:szCs w:val="20"/>
        </w:rPr>
        <w:t xml:space="preserve">e. </w:t>
      </w:r>
      <w:r w:rsidRPr="000B283F">
        <w:rPr>
          <w:sz w:val="20"/>
          <w:szCs w:val="20"/>
        </w:rPr>
        <w:t>Your manuscript is in two columns format with Times New Roman 10</w:t>
      </w:r>
      <w:r w:rsidR="001C3F1D">
        <w:rPr>
          <w:sz w:val="20"/>
          <w:szCs w:val="20"/>
        </w:rPr>
        <w:t>.</w:t>
      </w:r>
      <w:r w:rsidRPr="000B283F">
        <w:rPr>
          <w:sz w:val="20"/>
          <w:szCs w:val="20"/>
        </w:rPr>
        <w:t xml:space="preserve"> </w:t>
      </w:r>
      <w:r w:rsidR="001C3F1D" w:rsidRPr="001C3F1D">
        <w:rPr>
          <w:sz w:val="20"/>
          <w:szCs w:val="20"/>
        </w:rPr>
        <w:t>The width o</w:t>
      </w:r>
      <w:r w:rsidR="001C3F1D">
        <w:rPr>
          <w:sz w:val="20"/>
          <w:szCs w:val="20"/>
        </w:rPr>
        <w:t>f each column should be 8.0 cm with</w:t>
      </w:r>
      <w:r w:rsidR="001C3F1D" w:rsidRPr="001C3F1D">
        <w:rPr>
          <w:sz w:val="20"/>
          <w:szCs w:val="20"/>
        </w:rPr>
        <w:t xml:space="preserve"> 1 cm spacing between the two columns.</w:t>
      </w:r>
      <w:r w:rsidRPr="000B283F">
        <w:rPr>
          <w:sz w:val="20"/>
          <w:szCs w:val="20"/>
        </w:rPr>
        <w:t xml:space="preserve"> </w:t>
      </w:r>
    </w:p>
    <w:p w14:paraId="793CF802" w14:textId="77777777" w:rsidR="00C21EE8" w:rsidRPr="00C21EE8" w:rsidRDefault="00C21EE8" w:rsidP="009B0163">
      <w:pPr>
        <w:jc w:val="both"/>
        <w:rPr>
          <w:rFonts w:eastAsia="MS Mincho"/>
          <w:sz w:val="20"/>
          <w:szCs w:val="20"/>
          <w:lang w:eastAsia="ja-JP"/>
        </w:rPr>
      </w:pPr>
    </w:p>
    <w:p w14:paraId="33035CEA" w14:textId="77777777" w:rsidR="00F410E2" w:rsidRPr="00F410E2" w:rsidRDefault="00F410E2" w:rsidP="000B283F">
      <w:pPr>
        <w:numPr>
          <w:ilvl w:val="0"/>
          <w:numId w:val="1"/>
        </w:numPr>
        <w:ind w:left="284" w:hanging="284"/>
        <w:jc w:val="both"/>
        <w:rPr>
          <w:b/>
          <w:bCs/>
          <w:sz w:val="20"/>
          <w:szCs w:val="20"/>
        </w:rPr>
      </w:pPr>
      <w:r w:rsidRPr="00F410E2">
        <w:rPr>
          <w:b/>
          <w:bCs/>
          <w:sz w:val="20"/>
          <w:szCs w:val="20"/>
        </w:rPr>
        <w:t>OTHER SECTIONS</w:t>
      </w:r>
    </w:p>
    <w:p w14:paraId="23103DF9" w14:textId="77777777" w:rsidR="00EB42E4" w:rsidRPr="000B283F" w:rsidRDefault="00EB42E4" w:rsidP="001C3F1D">
      <w:pPr>
        <w:jc w:val="both"/>
        <w:rPr>
          <w:sz w:val="20"/>
          <w:szCs w:val="20"/>
        </w:rPr>
      </w:pPr>
      <w:r w:rsidRPr="000B283F">
        <w:rPr>
          <w:sz w:val="20"/>
          <w:szCs w:val="20"/>
        </w:rPr>
        <w:t>Full-length papers generally consist of introduction, materials, methods, results and discussion</w:t>
      </w:r>
      <w:r w:rsidR="009B0163">
        <w:rPr>
          <w:sz w:val="20"/>
          <w:szCs w:val="20"/>
        </w:rPr>
        <w:t xml:space="preserve"> in addition to references section</w:t>
      </w:r>
      <w:r w:rsidRPr="000B283F">
        <w:rPr>
          <w:sz w:val="20"/>
          <w:szCs w:val="20"/>
        </w:rPr>
        <w:t xml:space="preserve">.  </w:t>
      </w:r>
    </w:p>
    <w:p w14:paraId="41263F71" w14:textId="77777777" w:rsidR="00C21EE8" w:rsidRDefault="00F410E2" w:rsidP="00F410E2">
      <w:pPr>
        <w:jc w:val="both"/>
        <w:rPr>
          <w:rFonts w:eastAsia="MS Mincho"/>
          <w:sz w:val="20"/>
          <w:szCs w:val="20"/>
          <w:lang w:eastAsia="ja-JP"/>
        </w:rPr>
      </w:pPr>
      <w:r w:rsidRPr="00F410E2">
        <w:rPr>
          <w:sz w:val="20"/>
          <w:szCs w:val="20"/>
        </w:rPr>
        <w:t>Leave one extra blank line between sections and con</w:t>
      </w:r>
      <w:r w:rsidR="00C21EE8">
        <w:rPr>
          <w:sz w:val="20"/>
          <w:szCs w:val="20"/>
        </w:rPr>
        <w:t>tinue as shown. For the Table</w:t>
      </w:r>
      <w:r w:rsidR="00C21EE8">
        <w:rPr>
          <w:rFonts w:eastAsia="MS Mincho" w:hint="eastAsia"/>
          <w:sz w:val="20"/>
          <w:szCs w:val="20"/>
          <w:lang w:eastAsia="ja-JP"/>
        </w:rPr>
        <w:t xml:space="preserve"> contents</w:t>
      </w:r>
      <w:r w:rsidRPr="00F410E2">
        <w:rPr>
          <w:sz w:val="20"/>
          <w:szCs w:val="20"/>
        </w:rPr>
        <w:t xml:space="preserve">, </w:t>
      </w:r>
      <w:r w:rsidR="00C21EE8">
        <w:rPr>
          <w:sz w:val="20"/>
          <w:szCs w:val="20"/>
        </w:rPr>
        <w:t>Table</w:t>
      </w:r>
      <w:r w:rsidRPr="00F410E2">
        <w:rPr>
          <w:sz w:val="20"/>
          <w:szCs w:val="20"/>
        </w:rPr>
        <w:t xml:space="preserve"> and Figure </w:t>
      </w:r>
      <w:r w:rsidR="00C21EE8">
        <w:rPr>
          <w:rFonts w:eastAsia="MS Mincho" w:hint="eastAsia"/>
          <w:sz w:val="20"/>
          <w:szCs w:val="20"/>
          <w:lang w:eastAsia="ja-JP"/>
        </w:rPr>
        <w:t>c</w:t>
      </w:r>
      <w:r w:rsidRPr="00F410E2">
        <w:rPr>
          <w:sz w:val="20"/>
          <w:szCs w:val="20"/>
        </w:rPr>
        <w:t>aptions, use Times Roman 10 as shown below.</w:t>
      </w:r>
    </w:p>
    <w:p w14:paraId="735C9E8D" w14:textId="77777777" w:rsidR="00C21EE8" w:rsidRPr="00C21EE8" w:rsidRDefault="00C21EE8" w:rsidP="00F410E2">
      <w:pPr>
        <w:jc w:val="both"/>
        <w:rPr>
          <w:rFonts w:eastAsia="MS Mincho"/>
          <w:sz w:val="20"/>
          <w:szCs w:val="20"/>
          <w:lang w:eastAsia="ja-JP"/>
        </w:rPr>
      </w:pPr>
    </w:p>
    <w:p w14:paraId="433B7285" w14:textId="77777777" w:rsidR="00F410E2" w:rsidRPr="000B283F" w:rsidRDefault="00F410E2" w:rsidP="000B283F">
      <w:pPr>
        <w:widowControl w:val="0"/>
        <w:numPr>
          <w:ilvl w:val="1"/>
          <w:numId w:val="1"/>
        </w:numPr>
        <w:overflowPunct w:val="0"/>
        <w:autoSpaceDE w:val="0"/>
        <w:autoSpaceDN w:val="0"/>
        <w:adjustRightInd w:val="0"/>
        <w:ind w:left="360"/>
        <w:textAlignment w:val="baseline"/>
        <w:rPr>
          <w:rFonts w:eastAsia="MS Mincho"/>
          <w:b/>
          <w:sz w:val="20"/>
          <w:szCs w:val="20"/>
          <w:lang w:eastAsia="en-US"/>
        </w:rPr>
      </w:pPr>
      <w:r w:rsidRPr="00F410E2">
        <w:rPr>
          <w:rFonts w:eastAsia="MS Mincho"/>
          <w:b/>
          <w:sz w:val="20"/>
          <w:szCs w:val="20"/>
          <w:lang w:eastAsia="en-US"/>
        </w:rPr>
        <w:t xml:space="preserve">Subsection </w:t>
      </w:r>
    </w:p>
    <w:p w14:paraId="5AA5365A" w14:textId="77777777" w:rsidR="000B283F" w:rsidRPr="000B283F" w:rsidRDefault="00F410E2" w:rsidP="000B283F">
      <w:pPr>
        <w:widowControl w:val="0"/>
        <w:overflowPunct w:val="0"/>
        <w:autoSpaceDE w:val="0"/>
        <w:autoSpaceDN w:val="0"/>
        <w:adjustRightInd w:val="0"/>
        <w:jc w:val="both"/>
        <w:textAlignment w:val="baseline"/>
        <w:rPr>
          <w:rFonts w:eastAsia="MS Mincho"/>
          <w:sz w:val="20"/>
          <w:szCs w:val="20"/>
          <w:lang w:eastAsia="en-US"/>
        </w:rPr>
      </w:pPr>
      <w:r w:rsidRPr="00F410E2">
        <w:rPr>
          <w:rFonts w:eastAsia="MS Mincho"/>
          <w:sz w:val="20"/>
          <w:szCs w:val="20"/>
          <w:lang w:eastAsia="en-US"/>
        </w:rPr>
        <w:t xml:space="preserve">The Second level headings are in </w:t>
      </w:r>
      <w:r w:rsidR="00316580">
        <w:rPr>
          <w:rFonts w:eastAsia="MS Mincho" w:hint="eastAsia"/>
          <w:sz w:val="20"/>
          <w:szCs w:val="20"/>
          <w:lang w:eastAsia="ja-JP"/>
        </w:rPr>
        <w:t>Sentence</w:t>
      </w:r>
      <w:r w:rsidRPr="00F410E2">
        <w:rPr>
          <w:rFonts w:eastAsia="MS Mincho"/>
          <w:sz w:val="20"/>
          <w:szCs w:val="20"/>
          <w:lang w:eastAsia="en-US"/>
        </w:rPr>
        <w:t xml:space="preserve"> Case as shown in </w:t>
      </w:r>
      <w:r w:rsidR="00EB42E4" w:rsidRPr="000B283F">
        <w:rPr>
          <w:rFonts w:eastAsia="MS Mincho"/>
          <w:sz w:val="20"/>
          <w:szCs w:val="20"/>
          <w:lang w:eastAsia="en-US"/>
        </w:rPr>
        <w:t xml:space="preserve">Times New Roman 10 </w:t>
      </w:r>
      <w:r w:rsidRPr="00F410E2">
        <w:rPr>
          <w:rFonts w:eastAsia="MS Mincho"/>
          <w:sz w:val="20"/>
          <w:szCs w:val="20"/>
          <w:lang w:eastAsia="en-US"/>
        </w:rPr>
        <w:t xml:space="preserve">Bold. </w:t>
      </w:r>
    </w:p>
    <w:p w14:paraId="0F22F2F7" w14:textId="77777777" w:rsidR="00C728C0" w:rsidRPr="000B283F" w:rsidRDefault="00C728C0" w:rsidP="006B54F3">
      <w:pPr>
        <w:pStyle w:val="Text"/>
        <w:widowControl/>
        <w:spacing w:line="240" w:lineRule="auto"/>
        <w:ind w:firstLine="0"/>
      </w:pPr>
      <w:r w:rsidRPr="000B283F">
        <w:t>Please insert your figures with “inline wrapping” text style, as in this template (see Fig. 1).</w:t>
      </w:r>
      <w:r w:rsidR="006B54F3" w:rsidRPr="000B283F">
        <w:t xml:space="preserve"> </w:t>
      </w:r>
      <w:r w:rsidRPr="000B283F">
        <w:t>Place figure captions below the figures; place table titles above the tables. Tables and figures must be centered.</w:t>
      </w:r>
    </w:p>
    <w:p w14:paraId="4ACFA028" w14:textId="77777777" w:rsidR="007D4B61" w:rsidRDefault="006B54F3" w:rsidP="000B283F">
      <w:pPr>
        <w:pStyle w:val="Text"/>
        <w:widowControl/>
        <w:spacing w:line="240" w:lineRule="auto"/>
        <w:ind w:firstLine="0"/>
        <w:rPr>
          <w:rFonts w:eastAsia="MS Mincho"/>
          <w:lang w:eastAsia="ja-JP"/>
        </w:rPr>
      </w:pPr>
      <w:r w:rsidRPr="000B283F">
        <w:t xml:space="preserve">Large figures and tables may span both columns. If your figure has two parts, include the labels “(a)” and “(b)”. Letters in the figure should be large enough to be readily legible when the drawing is reduced. Do not forget to include the label, unit for each axis and the legend when they are required. Tables are numbered with Roman numerals. Please do not include captions as part of the figures. Do not put captions in “text boxes” linked to the figures. Do not put borders around the </w:t>
      </w:r>
      <w:r w:rsidR="00316580" w:rsidRPr="000B283F">
        <w:t>outside</w:t>
      </w:r>
      <w:r w:rsidRPr="000B283F">
        <w:t xml:space="preserve"> of your figures. Leave one line space of 10 pt after the Table.</w:t>
      </w:r>
    </w:p>
    <w:p w14:paraId="1A4001BD" w14:textId="77777777" w:rsidR="00FF6E3D" w:rsidRPr="00FF6E3D" w:rsidRDefault="00FF6E3D" w:rsidP="000B283F">
      <w:pPr>
        <w:pStyle w:val="Text"/>
        <w:widowControl/>
        <w:spacing w:line="240" w:lineRule="auto"/>
        <w:ind w:firstLine="0"/>
        <w:rPr>
          <w:rFonts w:eastAsia="MS Mincho"/>
          <w:lang w:eastAsia="ja-JP"/>
        </w:rPr>
      </w:pPr>
    </w:p>
    <w:p w14:paraId="248F7605" w14:textId="77777777" w:rsidR="00FF6E3D" w:rsidRPr="000B283F" w:rsidRDefault="00FF6E3D" w:rsidP="00FF6E3D">
      <w:pPr>
        <w:rPr>
          <w:sz w:val="20"/>
          <w:szCs w:val="20"/>
        </w:rPr>
      </w:pPr>
      <w:r>
        <w:rPr>
          <w:rFonts w:eastAsia="MS Mincho" w:hint="eastAsia"/>
          <w:sz w:val="20"/>
          <w:szCs w:val="20"/>
          <w:lang w:eastAsia="ja-JP"/>
        </w:rPr>
        <w:t>Citing a reference</w:t>
      </w:r>
      <w:r w:rsidRPr="000B283F">
        <w:rPr>
          <w:sz w:val="20"/>
          <w:szCs w:val="20"/>
        </w:rPr>
        <w:t xml:space="preserve">: Indicate references by number(s) in square brackets in line with the text. The actual authors can be referred to, but the reference number(s) must always be given. </w:t>
      </w:r>
    </w:p>
    <w:p w14:paraId="2EAF66CC" w14:textId="77777777" w:rsidR="00FF6E3D" w:rsidRPr="000B283F" w:rsidRDefault="00FF6E3D" w:rsidP="00FF6E3D">
      <w:pPr>
        <w:rPr>
          <w:sz w:val="20"/>
          <w:szCs w:val="20"/>
        </w:rPr>
      </w:pPr>
      <w:r w:rsidRPr="000B283F">
        <w:rPr>
          <w:sz w:val="20"/>
          <w:szCs w:val="20"/>
        </w:rPr>
        <w:t>Example: '</w:t>
      </w:r>
      <w:proofErr w:type="gramStart"/>
      <w:r w:rsidRPr="000B283F">
        <w:rPr>
          <w:sz w:val="20"/>
          <w:szCs w:val="20"/>
        </w:rPr>
        <w:t>.....</w:t>
      </w:r>
      <w:proofErr w:type="gramEnd"/>
      <w:r w:rsidRPr="000B283F">
        <w:rPr>
          <w:sz w:val="20"/>
          <w:szCs w:val="20"/>
        </w:rPr>
        <w:t xml:space="preserve"> as demonstrated [</w:t>
      </w:r>
      <w:r>
        <w:rPr>
          <w:rFonts w:eastAsia="MS Mincho" w:hint="eastAsia"/>
          <w:sz w:val="20"/>
          <w:szCs w:val="20"/>
          <w:lang w:eastAsia="ja-JP"/>
        </w:rPr>
        <w:t>1</w:t>
      </w:r>
      <w:r w:rsidRPr="000B283F">
        <w:rPr>
          <w:sz w:val="20"/>
          <w:szCs w:val="20"/>
        </w:rPr>
        <w:t>,</w:t>
      </w:r>
      <w:r w:rsidR="00821F83">
        <w:rPr>
          <w:rFonts w:eastAsia="MS Mincho" w:hint="eastAsia"/>
          <w:sz w:val="20"/>
          <w:szCs w:val="20"/>
          <w:lang w:eastAsia="ja-JP"/>
        </w:rPr>
        <w:t>4</w:t>
      </w:r>
      <w:r w:rsidRPr="000B283F">
        <w:rPr>
          <w:sz w:val="20"/>
          <w:szCs w:val="20"/>
        </w:rPr>
        <w:t>]</w:t>
      </w:r>
      <w:r w:rsidR="00821F83">
        <w:rPr>
          <w:rFonts w:eastAsia="MS Mincho" w:hint="eastAsia"/>
          <w:sz w:val="20"/>
          <w:szCs w:val="20"/>
          <w:lang w:eastAsia="ja-JP"/>
        </w:rPr>
        <w:t>.</w:t>
      </w:r>
      <w:r w:rsidRPr="000B283F">
        <w:rPr>
          <w:sz w:val="20"/>
          <w:szCs w:val="20"/>
        </w:rPr>
        <w:t xml:space="preserve"> Mettam [</w:t>
      </w:r>
      <w:r>
        <w:rPr>
          <w:rFonts w:eastAsia="MS Mincho" w:hint="eastAsia"/>
          <w:sz w:val="20"/>
          <w:szCs w:val="20"/>
          <w:lang w:eastAsia="ja-JP"/>
        </w:rPr>
        <w:t>3</w:t>
      </w:r>
      <w:r w:rsidRPr="000B283F">
        <w:rPr>
          <w:sz w:val="20"/>
          <w:szCs w:val="20"/>
        </w:rPr>
        <w:t xml:space="preserve">] obtained a different result ....' </w:t>
      </w:r>
    </w:p>
    <w:p w14:paraId="1A0776CE" w14:textId="77777777" w:rsidR="00FF6E3D" w:rsidRPr="000B283F" w:rsidRDefault="00FF6E3D" w:rsidP="00FF6E3D">
      <w:pPr>
        <w:rPr>
          <w:sz w:val="20"/>
          <w:szCs w:val="20"/>
        </w:rPr>
      </w:pPr>
      <w:r w:rsidRPr="000B283F">
        <w:rPr>
          <w:sz w:val="20"/>
          <w:szCs w:val="20"/>
        </w:rPr>
        <w:t xml:space="preserve">List: Number the references (numbers in square brackets) in the list in the order in which they appear in the text. </w:t>
      </w:r>
    </w:p>
    <w:p w14:paraId="2B657662" w14:textId="77777777" w:rsidR="00FF6E3D" w:rsidRPr="00FF6E3D" w:rsidRDefault="00FF6E3D" w:rsidP="000B283F">
      <w:pPr>
        <w:pStyle w:val="Text"/>
        <w:widowControl/>
        <w:spacing w:line="240" w:lineRule="auto"/>
        <w:ind w:firstLine="0"/>
        <w:rPr>
          <w:rFonts w:eastAsia="MS Mincho"/>
          <w:lang w:eastAsia="ja-JP"/>
        </w:rPr>
      </w:pPr>
    </w:p>
    <w:p w14:paraId="6E7B5442" w14:textId="77777777" w:rsidR="00230447" w:rsidRPr="006A6D95" w:rsidRDefault="00914984" w:rsidP="000B283F">
      <w:pPr>
        <w:pStyle w:val="Text"/>
        <w:widowControl/>
        <w:spacing w:line="240" w:lineRule="auto"/>
        <w:ind w:firstLine="0"/>
        <w:rPr>
          <w:rFonts w:eastAsia="MS Mincho"/>
        </w:rPr>
      </w:pPr>
      <w:r w:rsidRPr="0010362F">
        <w:rPr>
          <w:noProof/>
          <w:lang w:eastAsia="ja-JP"/>
        </w:rPr>
        <w:drawing>
          <wp:inline distT="0" distB="0" distL="0" distR="0" wp14:anchorId="4CF1B5FA" wp14:editId="6FDF27B0">
            <wp:extent cx="2828925" cy="1627505"/>
            <wp:effectExtent l="0" t="0" r="0" b="0"/>
            <wp:docPr id="27"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5C4CD5" w14:textId="77777777" w:rsidR="007D4B61" w:rsidRDefault="002E3F51" w:rsidP="007D4B61">
      <w:pPr>
        <w:jc w:val="both"/>
        <w:rPr>
          <w:rFonts w:eastAsia="MS Mincho"/>
          <w:sz w:val="20"/>
          <w:szCs w:val="20"/>
          <w:lang w:eastAsia="ja-JP"/>
        </w:rPr>
      </w:pPr>
      <w:r w:rsidRPr="000B283F">
        <w:rPr>
          <w:sz w:val="20"/>
          <w:szCs w:val="20"/>
        </w:rPr>
        <w:t xml:space="preserve">Fig. </w:t>
      </w:r>
      <w:r w:rsidR="00A6042D" w:rsidRPr="000B283F">
        <w:rPr>
          <w:sz w:val="20"/>
          <w:szCs w:val="20"/>
        </w:rPr>
        <w:t>1</w:t>
      </w:r>
      <w:r w:rsidRPr="000B283F">
        <w:rPr>
          <w:sz w:val="20"/>
          <w:szCs w:val="20"/>
        </w:rPr>
        <w:t xml:space="preserve">. </w:t>
      </w:r>
      <w:r w:rsidR="00230447" w:rsidRPr="00230447">
        <w:rPr>
          <w:sz w:val="20"/>
          <w:szCs w:val="20"/>
        </w:rPr>
        <w:t>Model and experimental behavior</w:t>
      </w:r>
      <w:r w:rsidR="007D4B61">
        <w:rPr>
          <w:sz w:val="20"/>
          <w:szCs w:val="20"/>
        </w:rPr>
        <w:t xml:space="preserve"> of the </w:t>
      </w:r>
      <w:proofErr w:type="gramStart"/>
      <w:r w:rsidR="007D4B61">
        <w:rPr>
          <w:sz w:val="20"/>
          <w:szCs w:val="20"/>
        </w:rPr>
        <w:t>As(</w:t>
      </w:r>
      <w:proofErr w:type="gramEnd"/>
      <w:r w:rsidR="007D4B61">
        <w:rPr>
          <w:sz w:val="20"/>
          <w:szCs w:val="20"/>
        </w:rPr>
        <w:t>III).</w:t>
      </w:r>
    </w:p>
    <w:p w14:paraId="4BFC4DBC" w14:textId="77777777" w:rsidR="004B3748" w:rsidRPr="00497247" w:rsidRDefault="004B3748" w:rsidP="007D4B61">
      <w:pPr>
        <w:jc w:val="both"/>
        <w:rPr>
          <w:rFonts w:eastAsia="MS Mincho"/>
          <w:sz w:val="20"/>
          <w:szCs w:val="20"/>
          <w:lang w:eastAsia="ja-JP"/>
        </w:rPr>
      </w:pPr>
    </w:p>
    <w:p w14:paraId="293F14A4" w14:textId="77777777" w:rsidR="00012719" w:rsidRPr="000B283F" w:rsidRDefault="007D4B61" w:rsidP="007D4B61">
      <w:pPr>
        <w:jc w:val="both"/>
        <w:rPr>
          <w:sz w:val="20"/>
          <w:szCs w:val="20"/>
        </w:rPr>
      </w:pPr>
      <w:r>
        <w:rPr>
          <w:sz w:val="20"/>
          <w:szCs w:val="20"/>
        </w:rPr>
        <w:t xml:space="preserve">  </w:t>
      </w:r>
      <w:r w:rsidR="00012719" w:rsidRPr="000B283F">
        <w:rPr>
          <w:sz w:val="20"/>
          <w:szCs w:val="20"/>
        </w:rPr>
        <w:t>T</w:t>
      </w:r>
      <w:r w:rsidR="00230447">
        <w:rPr>
          <w:sz w:val="20"/>
          <w:szCs w:val="20"/>
        </w:rPr>
        <w:t>able</w:t>
      </w:r>
      <w:r w:rsidR="00012719" w:rsidRPr="000B283F">
        <w:rPr>
          <w:sz w:val="20"/>
          <w:szCs w:val="20"/>
        </w:rPr>
        <w:t xml:space="preserve"> </w:t>
      </w:r>
      <w:r w:rsidR="00A26B82">
        <w:rPr>
          <w:sz w:val="20"/>
          <w:szCs w:val="20"/>
        </w:rPr>
        <w:t>1.</w:t>
      </w:r>
      <w:r w:rsidR="00A26B82" w:rsidRPr="000B283F">
        <w:rPr>
          <w:sz w:val="20"/>
          <w:szCs w:val="20"/>
        </w:rPr>
        <w:t xml:space="preserve"> Specifications</w:t>
      </w:r>
      <w:r w:rsidR="00012719" w:rsidRPr="000B283F">
        <w:rPr>
          <w:sz w:val="20"/>
          <w:szCs w:val="20"/>
        </w:rPr>
        <w:t xml:space="preserve"> </w:t>
      </w:r>
      <w:r w:rsidR="00230447">
        <w:rPr>
          <w:sz w:val="20"/>
          <w:szCs w:val="20"/>
        </w:rPr>
        <w:t>a</w:t>
      </w:r>
      <w:r w:rsidR="00012719" w:rsidRPr="000B283F">
        <w:rPr>
          <w:sz w:val="20"/>
          <w:szCs w:val="20"/>
        </w:rPr>
        <w:t xml:space="preserve">dopted </w:t>
      </w:r>
      <w:r w:rsidR="00230447">
        <w:rPr>
          <w:sz w:val="20"/>
          <w:szCs w:val="20"/>
        </w:rPr>
        <w:t>f</w:t>
      </w:r>
      <w:r w:rsidR="00012719" w:rsidRPr="000B283F">
        <w:rPr>
          <w:sz w:val="20"/>
          <w:szCs w:val="20"/>
        </w:rPr>
        <w:t xml:space="preserve">or </w:t>
      </w:r>
      <w:r w:rsidR="00230447">
        <w:rPr>
          <w:sz w:val="20"/>
          <w:szCs w:val="20"/>
        </w:rPr>
        <w:t>s</w:t>
      </w:r>
      <w:r w:rsidR="00012719" w:rsidRPr="000B283F">
        <w:rPr>
          <w:sz w:val="20"/>
          <w:szCs w:val="20"/>
        </w:rPr>
        <w:t xml:space="preserve">imulated </w:t>
      </w:r>
      <w:r w:rsidR="00230447">
        <w:rPr>
          <w:sz w:val="20"/>
          <w:szCs w:val="20"/>
        </w:rPr>
        <w:t>i</w:t>
      </w:r>
      <w:r w:rsidR="00012719" w:rsidRPr="000B283F">
        <w:rPr>
          <w:sz w:val="20"/>
          <w:szCs w:val="20"/>
        </w:rPr>
        <w:t>nverter</w:t>
      </w:r>
    </w:p>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1076"/>
        <w:gridCol w:w="1378"/>
        <w:gridCol w:w="1862"/>
      </w:tblGrid>
      <w:tr w:rsidR="00012719" w:rsidRPr="000B283F" w14:paraId="519B222C" w14:textId="77777777" w:rsidTr="00DB60D6">
        <w:trPr>
          <w:trHeight w:val="440"/>
          <w:jc w:val="center"/>
        </w:trPr>
        <w:tc>
          <w:tcPr>
            <w:tcW w:w="1076" w:type="dxa"/>
            <w:tcBorders>
              <w:top w:val="double" w:sz="6" w:space="0" w:color="auto"/>
              <w:left w:val="nil"/>
              <w:bottom w:val="single" w:sz="6" w:space="0" w:color="auto"/>
              <w:right w:val="nil"/>
            </w:tcBorders>
            <w:vAlign w:val="center"/>
          </w:tcPr>
          <w:p w14:paraId="7407AE44" w14:textId="77777777" w:rsidR="00012719" w:rsidRPr="000B283F" w:rsidRDefault="00012719" w:rsidP="008D15A3">
            <w:pPr>
              <w:jc w:val="both"/>
              <w:rPr>
                <w:sz w:val="20"/>
                <w:szCs w:val="20"/>
              </w:rPr>
            </w:pPr>
            <w:r w:rsidRPr="000B283F">
              <w:rPr>
                <w:sz w:val="20"/>
                <w:szCs w:val="20"/>
              </w:rPr>
              <w:t>Components</w:t>
            </w:r>
          </w:p>
        </w:tc>
        <w:tc>
          <w:tcPr>
            <w:tcW w:w="1378" w:type="dxa"/>
            <w:tcBorders>
              <w:top w:val="double" w:sz="6" w:space="0" w:color="auto"/>
              <w:left w:val="nil"/>
              <w:bottom w:val="single" w:sz="6" w:space="0" w:color="auto"/>
              <w:right w:val="nil"/>
            </w:tcBorders>
            <w:vAlign w:val="center"/>
          </w:tcPr>
          <w:p w14:paraId="65B56CF9" w14:textId="77777777" w:rsidR="00012719" w:rsidRPr="000B283F" w:rsidRDefault="00012719" w:rsidP="008D15A3">
            <w:pPr>
              <w:pStyle w:val="TableTitle"/>
              <w:jc w:val="both"/>
              <w:rPr>
                <w:smallCaps w:val="0"/>
                <w:sz w:val="20"/>
                <w:szCs w:val="20"/>
              </w:rPr>
            </w:pPr>
            <w:r w:rsidRPr="000B283F">
              <w:rPr>
                <w:smallCaps w:val="0"/>
                <w:sz w:val="20"/>
                <w:szCs w:val="20"/>
              </w:rPr>
              <w:t>Part name/ Manufacturer</w:t>
            </w:r>
          </w:p>
        </w:tc>
        <w:tc>
          <w:tcPr>
            <w:tcW w:w="1862" w:type="dxa"/>
            <w:tcBorders>
              <w:top w:val="double" w:sz="6" w:space="0" w:color="auto"/>
              <w:left w:val="nil"/>
              <w:bottom w:val="single" w:sz="6" w:space="0" w:color="auto"/>
              <w:right w:val="nil"/>
            </w:tcBorders>
            <w:vAlign w:val="center"/>
          </w:tcPr>
          <w:p w14:paraId="7C227979" w14:textId="77777777" w:rsidR="00012719" w:rsidRPr="000B283F" w:rsidRDefault="00012719" w:rsidP="008D15A3">
            <w:pPr>
              <w:jc w:val="both"/>
              <w:rPr>
                <w:sz w:val="20"/>
                <w:szCs w:val="20"/>
              </w:rPr>
            </w:pPr>
            <w:r w:rsidRPr="000B283F">
              <w:rPr>
                <w:sz w:val="20"/>
                <w:szCs w:val="20"/>
              </w:rPr>
              <w:t>Rating values</w:t>
            </w:r>
          </w:p>
        </w:tc>
      </w:tr>
      <w:tr w:rsidR="00012719" w:rsidRPr="000B283F" w14:paraId="15CA9BF3" w14:textId="77777777" w:rsidTr="00DB60D6">
        <w:trPr>
          <w:jc w:val="center"/>
        </w:trPr>
        <w:tc>
          <w:tcPr>
            <w:tcW w:w="1076" w:type="dxa"/>
            <w:tcBorders>
              <w:top w:val="nil"/>
              <w:left w:val="nil"/>
              <w:bottom w:val="nil"/>
              <w:right w:val="nil"/>
            </w:tcBorders>
            <w:vAlign w:val="center"/>
          </w:tcPr>
          <w:p w14:paraId="477ADEB5" w14:textId="77777777" w:rsidR="00012719" w:rsidRPr="000B283F" w:rsidRDefault="00012719" w:rsidP="008D15A3">
            <w:pPr>
              <w:jc w:val="both"/>
              <w:rPr>
                <w:i/>
                <w:sz w:val="20"/>
                <w:szCs w:val="20"/>
              </w:rPr>
            </w:pPr>
            <w:r w:rsidRPr="000B283F">
              <w:rPr>
                <w:i/>
                <w:sz w:val="20"/>
                <w:szCs w:val="20"/>
              </w:rPr>
              <w:t>S</w:t>
            </w:r>
            <w:r w:rsidRPr="000B283F">
              <w:rPr>
                <w:i/>
                <w:sz w:val="20"/>
                <w:szCs w:val="20"/>
                <w:vertAlign w:val="subscript"/>
              </w:rPr>
              <w:t>1,2</w:t>
            </w:r>
          </w:p>
        </w:tc>
        <w:tc>
          <w:tcPr>
            <w:tcW w:w="1378" w:type="dxa"/>
            <w:tcBorders>
              <w:top w:val="nil"/>
              <w:left w:val="nil"/>
              <w:bottom w:val="nil"/>
              <w:right w:val="nil"/>
            </w:tcBorders>
            <w:vAlign w:val="center"/>
          </w:tcPr>
          <w:p w14:paraId="4FBE8EBC" w14:textId="77777777" w:rsidR="00012719" w:rsidRPr="000B283F" w:rsidRDefault="00012719" w:rsidP="008D15A3">
            <w:pPr>
              <w:jc w:val="both"/>
              <w:rPr>
                <w:sz w:val="20"/>
                <w:szCs w:val="20"/>
              </w:rPr>
            </w:pPr>
            <w:r w:rsidRPr="000B283F">
              <w:rPr>
                <w:sz w:val="20"/>
                <w:szCs w:val="20"/>
              </w:rPr>
              <w:t>mty100n10e</w:t>
            </w:r>
          </w:p>
          <w:p w14:paraId="5C7698FD" w14:textId="77777777" w:rsidR="00012719" w:rsidRPr="000B283F" w:rsidRDefault="00012719" w:rsidP="008D15A3">
            <w:pPr>
              <w:jc w:val="both"/>
              <w:rPr>
                <w:sz w:val="20"/>
                <w:szCs w:val="20"/>
              </w:rPr>
            </w:pPr>
            <w:r w:rsidRPr="000B283F">
              <w:rPr>
                <w:sz w:val="20"/>
                <w:szCs w:val="20"/>
              </w:rPr>
              <w:t>(ONS)</w:t>
            </w:r>
          </w:p>
        </w:tc>
        <w:tc>
          <w:tcPr>
            <w:tcW w:w="1862" w:type="dxa"/>
            <w:tcBorders>
              <w:top w:val="nil"/>
              <w:left w:val="nil"/>
              <w:bottom w:val="nil"/>
              <w:right w:val="nil"/>
            </w:tcBorders>
            <w:vAlign w:val="center"/>
          </w:tcPr>
          <w:p w14:paraId="4CD801D1" w14:textId="77777777" w:rsidR="00012719" w:rsidRPr="000B283F" w:rsidRDefault="00012719" w:rsidP="008D15A3">
            <w:pPr>
              <w:jc w:val="both"/>
              <w:rPr>
                <w:sz w:val="20"/>
                <w:szCs w:val="20"/>
              </w:rPr>
            </w:pPr>
            <w:r w:rsidRPr="000B283F">
              <w:rPr>
                <w:sz w:val="20"/>
                <w:szCs w:val="20"/>
              </w:rPr>
              <w:t xml:space="preserve">100 V – </w:t>
            </w:r>
            <w:smartTag w:uri="urn:schemas-microsoft-com:office:smarttags" w:element="metricconverter">
              <w:smartTagPr>
                <w:attr w:name="ProductID" w:val="100 A"/>
              </w:smartTagPr>
              <w:r w:rsidRPr="000B283F">
                <w:rPr>
                  <w:sz w:val="20"/>
                  <w:szCs w:val="20"/>
                </w:rPr>
                <w:t>100 A</w:t>
              </w:r>
            </w:smartTag>
            <w:r w:rsidRPr="000B283F">
              <w:rPr>
                <w:sz w:val="20"/>
                <w:szCs w:val="20"/>
              </w:rPr>
              <w:t xml:space="preserve"> – </w:t>
            </w:r>
            <w:smartTag w:uri="urn:schemas-microsoft-com:office:smarttags" w:element="metricconverter">
              <w:smartTagPr>
                <w:attr w:name="ProductID" w:val="11 m"/>
              </w:smartTagPr>
              <w:r w:rsidRPr="000B283F">
                <w:rPr>
                  <w:sz w:val="20"/>
                  <w:szCs w:val="20"/>
                </w:rPr>
                <w:t>11 m</w:t>
              </w:r>
            </w:smartTag>
            <w:r w:rsidRPr="000B283F">
              <w:rPr>
                <w:sz w:val="20"/>
                <w:szCs w:val="20"/>
              </w:rPr>
              <w:sym w:font="Symbol" w:char="F057"/>
            </w:r>
          </w:p>
        </w:tc>
      </w:tr>
      <w:tr w:rsidR="00012719" w:rsidRPr="000B283F" w14:paraId="65C76A81" w14:textId="77777777" w:rsidTr="00DB60D6">
        <w:trPr>
          <w:jc w:val="center"/>
        </w:trPr>
        <w:tc>
          <w:tcPr>
            <w:tcW w:w="1076" w:type="dxa"/>
            <w:tcBorders>
              <w:top w:val="nil"/>
              <w:left w:val="nil"/>
              <w:bottom w:val="nil"/>
              <w:right w:val="nil"/>
            </w:tcBorders>
            <w:vAlign w:val="center"/>
          </w:tcPr>
          <w:p w14:paraId="18CD77C5" w14:textId="77777777" w:rsidR="00012719" w:rsidRPr="000B283F" w:rsidRDefault="00012719" w:rsidP="008D15A3">
            <w:pPr>
              <w:jc w:val="both"/>
              <w:rPr>
                <w:i/>
                <w:sz w:val="20"/>
                <w:szCs w:val="20"/>
              </w:rPr>
            </w:pPr>
            <w:r w:rsidRPr="000B283F">
              <w:rPr>
                <w:i/>
                <w:sz w:val="20"/>
                <w:szCs w:val="20"/>
              </w:rPr>
              <w:t>S</w:t>
            </w:r>
            <w:r w:rsidRPr="000B283F">
              <w:rPr>
                <w:i/>
                <w:sz w:val="20"/>
                <w:szCs w:val="20"/>
                <w:vertAlign w:val="subscript"/>
              </w:rPr>
              <w:t>a</w:t>
            </w:r>
          </w:p>
        </w:tc>
        <w:tc>
          <w:tcPr>
            <w:tcW w:w="1378" w:type="dxa"/>
            <w:tcBorders>
              <w:top w:val="nil"/>
              <w:left w:val="nil"/>
              <w:bottom w:val="nil"/>
              <w:right w:val="nil"/>
            </w:tcBorders>
            <w:vAlign w:val="center"/>
          </w:tcPr>
          <w:p w14:paraId="1D7886C7" w14:textId="77777777" w:rsidR="00012719" w:rsidRPr="000B283F" w:rsidRDefault="00012719" w:rsidP="008D15A3">
            <w:pPr>
              <w:jc w:val="both"/>
              <w:rPr>
                <w:sz w:val="20"/>
                <w:szCs w:val="20"/>
              </w:rPr>
            </w:pPr>
            <w:r w:rsidRPr="000B283F">
              <w:rPr>
                <w:sz w:val="20"/>
                <w:szCs w:val="20"/>
              </w:rPr>
              <w:t>irfpc50</w:t>
            </w:r>
          </w:p>
          <w:p w14:paraId="33D73B56" w14:textId="77777777" w:rsidR="00012719" w:rsidRPr="000B283F" w:rsidRDefault="00012719" w:rsidP="008D15A3">
            <w:pPr>
              <w:jc w:val="both"/>
              <w:rPr>
                <w:sz w:val="20"/>
                <w:szCs w:val="20"/>
              </w:rPr>
            </w:pPr>
            <w:r w:rsidRPr="000B283F">
              <w:rPr>
                <w:sz w:val="20"/>
                <w:szCs w:val="20"/>
              </w:rPr>
              <w:t>(IR)</w:t>
            </w:r>
          </w:p>
        </w:tc>
        <w:tc>
          <w:tcPr>
            <w:tcW w:w="1862" w:type="dxa"/>
            <w:tcBorders>
              <w:top w:val="nil"/>
              <w:left w:val="nil"/>
              <w:bottom w:val="nil"/>
              <w:right w:val="nil"/>
            </w:tcBorders>
            <w:vAlign w:val="center"/>
          </w:tcPr>
          <w:p w14:paraId="630C312D" w14:textId="77777777" w:rsidR="00012719" w:rsidRPr="000B283F" w:rsidRDefault="00012719" w:rsidP="008D15A3">
            <w:pPr>
              <w:jc w:val="both"/>
              <w:rPr>
                <w:sz w:val="20"/>
                <w:szCs w:val="20"/>
              </w:rPr>
            </w:pPr>
            <w:r w:rsidRPr="000B283F">
              <w:rPr>
                <w:sz w:val="20"/>
                <w:szCs w:val="20"/>
              </w:rPr>
              <w:t xml:space="preserve">600 V – </w:t>
            </w:r>
            <w:smartTag w:uri="urn:schemas-microsoft-com:office:smarttags" w:element="metricconverter">
              <w:smartTagPr>
                <w:attr w:name="ProductID" w:val="11 A"/>
              </w:smartTagPr>
              <w:r w:rsidRPr="000B283F">
                <w:rPr>
                  <w:sz w:val="20"/>
                  <w:szCs w:val="20"/>
                </w:rPr>
                <w:t>11 A</w:t>
              </w:r>
            </w:smartTag>
            <w:r w:rsidRPr="000B283F">
              <w:rPr>
                <w:sz w:val="20"/>
                <w:szCs w:val="20"/>
              </w:rPr>
              <w:t xml:space="preserve"> – </w:t>
            </w:r>
            <w:smartTag w:uri="urn:schemas-microsoft-com:office:smarttags" w:element="metricconverter">
              <w:smartTagPr>
                <w:attr w:name="ProductID" w:val="600 m"/>
              </w:smartTagPr>
              <w:r w:rsidRPr="000B283F">
                <w:rPr>
                  <w:sz w:val="20"/>
                  <w:szCs w:val="20"/>
                </w:rPr>
                <w:t>600 m</w:t>
              </w:r>
            </w:smartTag>
            <w:r w:rsidRPr="000B283F">
              <w:rPr>
                <w:sz w:val="20"/>
                <w:szCs w:val="20"/>
              </w:rPr>
              <w:sym w:font="Symbol" w:char="F057"/>
            </w:r>
          </w:p>
        </w:tc>
      </w:tr>
      <w:tr w:rsidR="00012719" w:rsidRPr="000B283F" w14:paraId="104350AC" w14:textId="77777777" w:rsidTr="00DB60D6">
        <w:trPr>
          <w:jc w:val="center"/>
        </w:trPr>
        <w:tc>
          <w:tcPr>
            <w:tcW w:w="1076" w:type="dxa"/>
            <w:tcBorders>
              <w:top w:val="nil"/>
              <w:left w:val="nil"/>
              <w:bottom w:val="nil"/>
              <w:right w:val="nil"/>
            </w:tcBorders>
            <w:vAlign w:val="center"/>
          </w:tcPr>
          <w:p w14:paraId="2E4DCAEE" w14:textId="77777777" w:rsidR="00012719" w:rsidRPr="000B283F" w:rsidRDefault="00012719" w:rsidP="008D15A3">
            <w:pPr>
              <w:jc w:val="both"/>
              <w:rPr>
                <w:i/>
                <w:sz w:val="20"/>
                <w:szCs w:val="20"/>
              </w:rPr>
            </w:pPr>
            <w:r w:rsidRPr="000B283F">
              <w:rPr>
                <w:i/>
                <w:sz w:val="20"/>
                <w:szCs w:val="20"/>
              </w:rPr>
              <w:t>D</w:t>
            </w:r>
            <w:r w:rsidRPr="000B283F">
              <w:rPr>
                <w:i/>
                <w:sz w:val="20"/>
                <w:szCs w:val="20"/>
                <w:vertAlign w:val="subscript"/>
              </w:rPr>
              <w:t>1,2</w:t>
            </w:r>
          </w:p>
        </w:tc>
        <w:tc>
          <w:tcPr>
            <w:tcW w:w="1378" w:type="dxa"/>
            <w:tcBorders>
              <w:top w:val="nil"/>
              <w:left w:val="nil"/>
              <w:bottom w:val="nil"/>
              <w:right w:val="nil"/>
            </w:tcBorders>
            <w:vAlign w:val="center"/>
          </w:tcPr>
          <w:p w14:paraId="796ECDCC" w14:textId="77777777" w:rsidR="00012719" w:rsidRPr="000B283F" w:rsidRDefault="00012719" w:rsidP="008D15A3">
            <w:pPr>
              <w:jc w:val="both"/>
              <w:rPr>
                <w:sz w:val="20"/>
                <w:szCs w:val="20"/>
              </w:rPr>
            </w:pPr>
            <w:r w:rsidRPr="000B283F">
              <w:rPr>
                <w:sz w:val="20"/>
                <w:szCs w:val="20"/>
              </w:rPr>
              <w:t>30cpq150</w:t>
            </w:r>
          </w:p>
          <w:p w14:paraId="2AD9F3F0" w14:textId="77777777" w:rsidR="00012719" w:rsidRPr="000B283F" w:rsidRDefault="00012719" w:rsidP="008D15A3">
            <w:pPr>
              <w:jc w:val="both"/>
              <w:rPr>
                <w:sz w:val="20"/>
                <w:szCs w:val="20"/>
              </w:rPr>
            </w:pPr>
            <w:r w:rsidRPr="000B283F">
              <w:rPr>
                <w:sz w:val="20"/>
                <w:szCs w:val="20"/>
              </w:rPr>
              <w:t>(IR)</w:t>
            </w:r>
          </w:p>
        </w:tc>
        <w:tc>
          <w:tcPr>
            <w:tcW w:w="1862" w:type="dxa"/>
            <w:tcBorders>
              <w:top w:val="nil"/>
              <w:left w:val="nil"/>
              <w:bottom w:val="nil"/>
              <w:right w:val="nil"/>
            </w:tcBorders>
            <w:vAlign w:val="center"/>
          </w:tcPr>
          <w:p w14:paraId="066FF62A" w14:textId="77777777" w:rsidR="00012719" w:rsidRPr="000B283F" w:rsidRDefault="00012719" w:rsidP="008D15A3">
            <w:pPr>
              <w:jc w:val="both"/>
              <w:rPr>
                <w:sz w:val="20"/>
                <w:szCs w:val="20"/>
              </w:rPr>
            </w:pPr>
            <w:r w:rsidRPr="000B283F">
              <w:rPr>
                <w:sz w:val="20"/>
                <w:szCs w:val="20"/>
              </w:rPr>
              <w:t xml:space="preserve">150 V – </w:t>
            </w:r>
            <w:smartTag w:uri="urn:schemas-microsoft-com:office:smarttags" w:element="metricconverter">
              <w:smartTagPr>
                <w:attr w:name="ProductID" w:val="30 A"/>
              </w:smartTagPr>
              <w:r w:rsidRPr="000B283F">
                <w:rPr>
                  <w:sz w:val="20"/>
                  <w:szCs w:val="20"/>
                </w:rPr>
                <w:t>30 A</w:t>
              </w:r>
            </w:smartTag>
            <w:r w:rsidRPr="000B283F">
              <w:rPr>
                <w:sz w:val="20"/>
                <w:szCs w:val="20"/>
              </w:rPr>
              <w:t xml:space="preserve"> – 0.78 V</w:t>
            </w:r>
          </w:p>
        </w:tc>
      </w:tr>
      <w:tr w:rsidR="00012719" w:rsidRPr="000B283F" w14:paraId="21029768" w14:textId="77777777" w:rsidTr="00DB60D6">
        <w:trPr>
          <w:jc w:val="center"/>
        </w:trPr>
        <w:tc>
          <w:tcPr>
            <w:tcW w:w="1076" w:type="dxa"/>
            <w:tcBorders>
              <w:top w:val="nil"/>
              <w:left w:val="nil"/>
              <w:bottom w:val="nil"/>
              <w:right w:val="nil"/>
            </w:tcBorders>
            <w:vAlign w:val="center"/>
          </w:tcPr>
          <w:p w14:paraId="017A9ECB" w14:textId="77777777" w:rsidR="00012719" w:rsidRPr="000B283F" w:rsidRDefault="00012719" w:rsidP="008D15A3">
            <w:pPr>
              <w:jc w:val="both"/>
              <w:rPr>
                <w:i/>
                <w:sz w:val="20"/>
                <w:szCs w:val="20"/>
              </w:rPr>
            </w:pPr>
            <w:r w:rsidRPr="000B283F">
              <w:rPr>
                <w:i/>
                <w:sz w:val="20"/>
                <w:szCs w:val="20"/>
              </w:rPr>
              <w:t>D</w:t>
            </w:r>
            <w:r w:rsidRPr="000B283F">
              <w:rPr>
                <w:i/>
                <w:sz w:val="20"/>
                <w:szCs w:val="20"/>
                <w:vertAlign w:val="subscript"/>
              </w:rPr>
              <w:t>3,4,5,6,7,8,9</w:t>
            </w:r>
          </w:p>
        </w:tc>
        <w:tc>
          <w:tcPr>
            <w:tcW w:w="1378" w:type="dxa"/>
            <w:tcBorders>
              <w:top w:val="nil"/>
              <w:left w:val="nil"/>
              <w:bottom w:val="nil"/>
              <w:right w:val="nil"/>
            </w:tcBorders>
            <w:vAlign w:val="center"/>
          </w:tcPr>
          <w:p w14:paraId="582A9016" w14:textId="77777777" w:rsidR="00012719" w:rsidRPr="000B283F" w:rsidRDefault="00012719" w:rsidP="008D15A3">
            <w:pPr>
              <w:jc w:val="both"/>
              <w:rPr>
                <w:sz w:val="20"/>
                <w:szCs w:val="20"/>
              </w:rPr>
            </w:pPr>
            <w:r w:rsidRPr="000B283F">
              <w:rPr>
                <w:sz w:val="20"/>
                <w:szCs w:val="20"/>
              </w:rPr>
              <w:t>hfa15tb60</w:t>
            </w:r>
          </w:p>
          <w:p w14:paraId="73E67AA0" w14:textId="77777777" w:rsidR="00012719" w:rsidRPr="000B283F" w:rsidRDefault="00012719" w:rsidP="008D15A3">
            <w:pPr>
              <w:jc w:val="both"/>
              <w:rPr>
                <w:sz w:val="20"/>
                <w:szCs w:val="20"/>
              </w:rPr>
            </w:pPr>
            <w:r w:rsidRPr="000B283F">
              <w:rPr>
                <w:sz w:val="20"/>
                <w:szCs w:val="20"/>
              </w:rPr>
              <w:t>(IR)</w:t>
            </w:r>
          </w:p>
        </w:tc>
        <w:tc>
          <w:tcPr>
            <w:tcW w:w="1862" w:type="dxa"/>
            <w:tcBorders>
              <w:top w:val="nil"/>
              <w:left w:val="nil"/>
              <w:bottom w:val="nil"/>
              <w:right w:val="nil"/>
            </w:tcBorders>
            <w:vAlign w:val="center"/>
          </w:tcPr>
          <w:p w14:paraId="6BFB413C" w14:textId="77777777" w:rsidR="00012719" w:rsidRPr="000B283F" w:rsidRDefault="00012719" w:rsidP="008D15A3">
            <w:pPr>
              <w:jc w:val="both"/>
              <w:rPr>
                <w:sz w:val="20"/>
                <w:szCs w:val="20"/>
              </w:rPr>
            </w:pPr>
            <w:r w:rsidRPr="000B283F">
              <w:rPr>
                <w:sz w:val="20"/>
                <w:szCs w:val="20"/>
              </w:rPr>
              <w:t xml:space="preserve">600 V – </w:t>
            </w:r>
            <w:smartTag w:uri="urn:schemas-microsoft-com:office:smarttags" w:element="metricconverter">
              <w:smartTagPr>
                <w:attr w:name="ProductID" w:val="15 A"/>
              </w:smartTagPr>
              <w:r w:rsidRPr="000B283F">
                <w:rPr>
                  <w:sz w:val="20"/>
                  <w:szCs w:val="20"/>
                </w:rPr>
                <w:t>15 A</w:t>
              </w:r>
            </w:smartTag>
            <w:r w:rsidRPr="000B283F">
              <w:rPr>
                <w:sz w:val="20"/>
                <w:szCs w:val="20"/>
              </w:rPr>
              <w:t xml:space="preserve"> – 1.7 V</w:t>
            </w:r>
          </w:p>
        </w:tc>
      </w:tr>
      <w:tr w:rsidR="00012719" w:rsidRPr="000B283F" w14:paraId="44FB87EE" w14:textId="77777777" w:rsidTr="00DB60D6">
        <w:trPr>
          <w:trHeight w:val="279"/>
          <w:jc w:val="center"/>
        </w:trPr>
        <w:tc>
          <w:tcPr>
            <w:tcW w:w="1076" w:type="dxa"/>
            <w:tcBorders>
              <w:top w:val="nil"/>
              <w:left w:val="nil"/>
              <w:bottom w:val="double" w:sz="6" w:space="0" w:color="auto"/>
              <w:right w:val="nil"/>
            </w:tcBorders>
            <w:vAlign w:val="center"/>
          </w:tcPr>
          <w:p w14:paraId="7B7726F3" w14:textId="77777777" w:rsidR="00012719" w:rsidRPr="000B283F" w:rsidRDefault="00012719" w:rsidP="008D15A3">
            <w:pPr>
              <w:jc w:val="both"/>
              <w:rPr>
                <w:i/>
                <w:sz w:val="20"/>
                <w:szCs w:val="20"/>
              </w:rPr>
            </w:pPr>
            <w:r w:rsidRPr="000B283F">
              <w:rPr>
                <w:i/>
                <w:sz w:val="20"/>
                <w:szCs w:val="20"/>
              </w:rPr>
              <w:t>L</w:t>
            </w:r>
            <w:r w:rsidRPr="000B283F">
              <w:rPr>
                <w:i/>
                <w:sz w:val="20"/>
                <w:szCs w:val="20"/>
                <w:vertAlign w:val="subscript"/>
              </w:rPr>
              <w:t>1</w:t>
            </w:r>
            <w:r w:rsidRPr="000B283F">
              <w:rPr>
                <w:i/>
                <w:sz w:val="20"/>
                <w:szCs w:val="20"/>
              </w:rPr>
              <w:t xml:space="preserve"> , L</w:t>
            </w:r>
            <w:r w:rsidRPr="000B283F">
              <w:rPr>
                <w:i/>
                <w:sz w:val="20"/>
                <w:szCs w:val="20"/>
                <w:vertAlign w:val="subscript"/>
              </w:rPr>
              <w:t>2</w:t>
            </w:r>
          </w:p>
        </w:tc>
        <w:tc>
          <w:tcPr>
            <w:tcW w:w="1378" w:type="dxa"/>
            <w:tcBorders>
              <w:top w:val="nil"/>
              <w:left w:val="nil"/>
              <w:bottom w:val="double" w:sz="6" w:space="0" w:color="auto"/>
              <w:right w:val="nil"/>
            </w:tcBorders>
            <w:vAlign w:val="center"/>
          </w:tcPr>
          <w:p w14:paraId="251E44FF" w14:textId="77777777" w:rsidR="00012719" w:rsidRPr="000B283F" w:rsidRDefault="00012719" w:rsidP="008D15A3">
            <w:pPr>
              <w:jc w:val="both"/>
              <w:rPr>
                <w:sz w:val="20"/>
                <w:szCs w:val="20"/>
              </w:rPr>
            </w:pPr>
            <w:r w:rsidRPr="000B283F">
              <w:rPr>
                <w:sz w:val="20"/>
                <w:szCs w:val="20"/>
              </w:rPr>
              <w:t>Primary inductor (Philips)</w:t>
            </w:r>
          </w:p>
        </w:tc>
        <w:tc>
          <w:tcPr>
            <w:tcW w:w="1862" w:type="dxa"/>
            <w:tcBorders>
              <w:top w:val="nil"/>
              <w:left w:val="nil"/>
              <w:bottom w:val="double" w:sz="6" w:space="0" w:color="auto"/>
              <w:right w:val="nil"/>
            </w:tcBorders>
            <w:vAlign w:val="center"/>
          </w:tcPr>
          <w:p w14:paraId="1549A2E9" w14:textId="77777777" w:rsidR="00012719" w:rsidRPr="000B283F" w:rsidRDefault="00012719" w:rsidP="008D15A3">
            <w:pPr>
              <w:jc w:val="both"/>
              <w:rPr>
                <w:sz w:val="20"/>
                <w:szCs w:val="20"/>
              </w:rPr>
            </w:pPr>
            <w:r w:rsidRPr="000B283F">
              <w:rPr>
                <w:sz w:val="20"/>
                <w:szCs w:val="20"/>
              </w:rPr>
              <w:t xml:space="preserve">680 </w:t>
            </w:r>
            <w:r w:rsidRPr="000B283F">
              <w:rPr>
                <w:sz w:val="20"/>
                <w:szCs w:val="20"/>
              </w:rPr>
              <w:sym w:font="Symbol" w:char="F06D"/>
            </w:r>
            <w:r w:rsidRPr="000B283F">
              <w:rPr>
                <w:sz w:val="20"/>
                <w:szCs w:val="20"/>
              </w:rPr>
              <w:t>H</w:t>
            </w:r>
          </w:p>
        </w:tc>
      </w:tr>
    </w:tbl>
    <w:p w14:paraId="009A93A6" w14:textId="77777777" w:rsidR="006C158D" w:rsidRPr="003C7558" w:rsidRDefault="006C158D" w:rsidP="008D15A3">
      <w:pPr>
        <w:jc w:val="both"/>
        <w:rPr>
          <w:sz w:val="4"/>
          <w:szCs w:val="4"/>
        </w:rPr>
      </w:pPr>
    </w:p>
    <w:p w14:paraId="451F0725" w14:textId="77777777" w:rsidR="004B3748" w:rsidRPr="004B3748" w:rsidRDefault="004B3748" w:rsidP="004B3748">
      <w:pPr>
        <w:ind w:left="284"/>
        <w:jc w:val="both"/>
        <w:rPr>
          <w:b/>
          <w:bCs/>
          <w:sz w:val="20"/>
          <w:szCs w:val="20"/>
        </w:rPr>
      </w:pPr>
    </w:p>
    <w:p w14:paraId="5261E6FD" w14:textId="77777777" w:rsidR="00EB42E4" w:rsidRPr="000B283F" w:rsidRDefault="000B283F" w:rsidP="000B283F">
      <w:pPr>
        <w:numPr>
          <w:ilvl w:val="0"/>
          <w:numId w:val="1"/>
        </w:numPr>
        <w:ind w:left="284" w:hanging="284"/>
        <w:jc w:val="both"/>
        <w:rPr>
          <w:b/>
          <w:bCs/>
          <w:sz w:val="20"/>
          <w:szCs w:val="20"/>
        </w:rPr>
      </w:pPr>
      <w:r w:rsidRPr="000B283F">
        <w:rPr>
          <w:b/>
          <w:bCs/>
          <w:sz w:val="20"/>
          <w:szCs w:val="20"/>
        </w:rPr>
        <w:t>R</w:t>
      </w:r>
      <w:r w:rsidR="00866F11">
        <w:rPr>
          <w:rFonts w:eastAsia="MS Mincho" w:hint="eastAsia"/>
          <w:b/>
          <w:bCs/>
          <w:sz w:val="20"/>
          <w:szCs w:val="20"/>
          <w:lang w:eastAsia="ja-JP"/>
        </w:rPr>
        <w:t>EFERENCES</w:t>
      </w:r>
      <w:r w:rsidRPr="000B283F">
        <w:rPr>
          <w:b/>
          <w:bCs/>
          <w:sz w:val="20"/>
          <w:szCs w:val="20"/>
        </w:rPr>
        <w:t xml:space="preserve"> </w:t>
      </w:r>
      <w:r w:rsidR="00EB42E4" w:rsidRPr="000B283F">
        <w:rPr>
          <w:b/>
          <w:bCs/>
          <w:sz w:val="20"/>
          <w:szCs w:val="20"/>
        </w:rPr>
        <w:t xml:space="preserve"> </w:t>
      </w:r>
    </w:p>
    <w:p w14:paraId="10E76755" w14:textId="77777777" w:rsidR="00355C2E" w:rsidRPr="00355C2E" w:rsidRDefault="00B7423C" w:rsidP="00EB42E4">
      <w:pPr>
        <w:rPr>
          <w:i/>
          <w:sz w:val="16"/>
          <w:szCs w:val="16"/>
        </w:rPr>
      </w:pPr>
      <w:r w:rsidRPr="00355C2E">
        <w:rPr>
          <w:i/>
          <w:sz w:val="16"/>
          <w:szCs w:val="16"/>
        </w:rPr>
        <w:t xml:space="preserve">Cite at least two relevant articles from </w:t>
      </w:r>
      <w:r w:rsidR="00355C2E" w:rsidRPr="00355C2E">
        <w:rPr>
          <w:i/>
          <w:sz w:val="16"/>
          <w:szCs w:val="16"/>
        </w:rPr>
        <w:t xml:space="preserve">previse </w:t>
      </w:r>
      <w:r w:rsidRPr="00355C2E">
        <w:rPr>
          <w:i/>
          <w:sz w:val="16"/>
          <w:szCs w:val="16"/>
        </w:rPr>
        <w:t>IEICES</w:t>
      </w:r>
      <w:r w:rsidR="00355C2E" w:rsidRPr="00355C2E">
        <w:rPr>
          <w:i/>
          <w:sz w:val="16"/>
          <w:szCs w:val="16"/>
        </w:rPr>
        <w:t xml:space="preserve"> Proceedings (http://www.tj.kyushu-u.ac.jp/en/igses/ieices/proceedings.php)</w:t>
      </w:r>
      <w:r w:rsidRPr="00355C2E">
        <w:rPr>
          <w:i/>
          <w:sz w:val="16"/>
          <w:szCs w:val="16"/>
        </w:rPr>
        <w:t xml:space="preserve"> </w:t>
      </w:r>
    </w:p>
    <w:p w14:paraId="1873DF2E" w14:textId="77777777" w:rsidR="00355C2E" w:rsidRDefault="00355C2E" w:rsidP="00EB42E4">
      <w:pPr>
        <w:rPr>
          <w:sz w:val="20"/>
          <w:szCs w:val="20"/>
        </w:rPr>
      </w:pPr>
    </w:p>
    <w:p w14:paraId="30459D23" w14:textId="77777777" w:rsidR="00EB42E4" w:rsidRPr="000B283F" w:rsidRDefault="00EB42E4" w:rsidP="00EB42E4">
      <w:pPr>
        <w:rPr>
          <w:sz w:val="20"/>
          <w:szCs w:val="20"/>
        </w:rPr>
      </w:pPr>
      <w:r w:rsidRPr="000B283F">
        <w:rPr>
          <w:sz w:val="20"/>
          <w:szCs w:val="20"/>
        </w:rPr>
        <w:t xml:space="preserve">Reference to a journal publication: </w:t>
      </w:r>
    </w:p>
    <w:p w14:paraId="79AA0EBE" w14:textId="77777777" w:rsidR="00EB42E4" w:rsidRPr="000B283F" w:rsidRDefault="00EB42E4" w:rsidP="002E0797">
      <w:pPr>
        <w:ind w:left="284" w:hanging="284"/>
        <w:rPr>
          <w:sz w:val="20"/>
          <w:szCs w:val="20"/>
        </w:rPr>
      </w:pPr>
      <w:r w:rsidRPr="000B283F">
        <w:rPr>
          <w:sz w:val="20"/>
          <w:szCs w:val="20"/>
        </w:rPr>
        <w:t xml:space="preserve">[1] J. van der Geer, J.A.J. </w:t>
      </w:r>
      <w:proofErr w:type="spellStart"/>
      <w:r w:rsidRPr="000B283F">
        <w:rPr>
          <w:sz w:val="20"/>
          <w:szCs w:val="20"/>
        </w:rPr>
        <w:t>Hanraads</w:t>
      </w:r>
      <w:proofErr w:type="spellEnd"/>
      <w:r w:rsidRPr="000B283F">
        <w:rPr>
          <w:sz w:val="20"/>
          <w:szCs w:val="20"/>
        </w:rPr>
        <w:t xml:space="preserve">, R.A. Lupton, The art of writing a scientific article, J. Sci. </w:t>
      </w:r>
      <w:proofErr w:type="spellStart"/>
      <w:r w:rsidRPr="000B283F">
        <w:rPr>
          <w:sz w:val="20"/>
          <w:szCs w:val="20"/>
        </w:rPr>
        <w:t>Commun</w:t>
      </w:r>
      <w:proofErr w:type="spellEnd"/>
      <w:r w:rsidRPr="000B283F">
        <w:rPr>
          <w:sz w:val="20"/>
          <w:szCs w:val="20"/>
        </w:rPr>
        <w:t xml:space="preserve">. 163 (2010) 51–59. </w:t>
      </w:r>
    </w:p>
    <w:p w14:paraId="0C0496B9" w14:textId="77777777" w:rsidR="00EB42E4" w:rsidRPr="000B283F" w:rsidRDefault="00EB42E4" w:rsidP="00EB42E4">
      <w:pPr>
        <w:rPr>
          <w:sz w:val="20"/>
          <w:szCs w:val="20"/>
        </w:rPr>
      </w:pPr>
      <w:r w:rsidRPr="000B283F">
        <w:rPr>
          <w:sz w:val="20"/>
          <w:szCs w:val="20"/>
        </w:rPr>
        <w:t xml:space="preserve">Reference to a book: </w:t>
      </w:r>
    </w:p>
    <w:p w14:paraId="2716E8E3" w14:textId="77777777" w:rsidR="00EB42E4" w:rsidRPr="000B283F" w:rsidRDefault="00EB42E4" w:rsidP="002E0797">
      <w:pPr>
        <w:ind w:left="284" w:hanging="284"/>
        <w:rPr>
          <w:sz w:val="20"/>
          <w:szCs w:val="20"/>
        </w:rPr>
      </w:pPr>
      <w:r w:rsidRPr="000B283F">
        <w:rPr>
          <w:sz w:val="20"/>
          <w:szCs w:val="20"/>
        </w:rPr>
        <w:t xml:space="preserve">[2] W. Strunk Jr., E.B. White, The Elements of Style, fourth ed., Longman, New York, 2000. </w:t>
      </w:r>
    </w:p>
    <w:p w14:paraId="34F1105A" w14:textId="77777777" w:rsidR="009B0163" w:rsidRDefault="00EB42E4" w:rsidP="00EB42E4">
      <w:pPr>
        <w:rPr>
          <w:sz w:val="20"/>
          <w:szCs w:val="20"/>
        </w:rPr>
      </w:pPr>
      <w:r w:rsidRPr="000B283F">
        <w:rPr>
          <w:sz w:val="20"/>
          <w:szCs w:val="20"/>
        </w:rPr>
        <w:t xml:space="preserve">Reference to a chapter in an edited book: </w:t>
      </w:r>
    </w:p>
    <w:p w14:paraId="1F0D15E7" w14:textId="77777777" w:rsidR="00EB42E4" w:rsidRPr="000B283F" w:rsidRDefault="003C7558" w:rsidP="003C7558">
      <w:pPr>
        <w:ind w:left="284" w:hanging="284"/>
        <w:rPr>
          <w:sz w:val="20"/>
          <w:szCs w:val="20"/>
        </w:rPr>
      </w:pPr>
      <w:r>
        <w:rPr>
          <w:sz w:val="20"/>
          <w:szCs w:val="20"/>
        </w:rPr>
        <w:t xml:space="preserve"> </w:t>
      </w:r>
      <w:r w:rsidR="00EB42E4" w:rsidRPr="000B283F">
        <w:rPr>
          <w:sz w:val="20"/>
          <w:szCs w:val="20"/>
        </w:rPr>
        <w:t>[3] G.R. Mettam, L.B. Adams, How to prepare an electronic version of your article, in: B.S. Jones, R.Z. Smith (Eds.), Introduction to the Electronic Age, E-Publishing Inc., New York, 2009, pp. 281–304.</w:t>
      </w:r>
    </w:p>
    <w:p w14:paraId="540E0427" w14:textId="77777777" w:rsidR="00EB42E4" w:rsidRPr="000B283F" w:rsidRDefault="00EB42E4" w:rsidP="003C7558">
      <w:pPr>
        <w:ind w:left="284" w:hanging="284"/>
        <w:rPr>
          <w:sz w:val="20"/>
          <w:szCs w:val="20"/>
        </w:rPr>
      </w:pPr>
      <w:r w:rsidRPr="000B283F">
        <w:rPr>
          <w:sz w:val="20"/>
          <w:szCs w:val="20"/>
        </w:rPr>
        <w:t>Reference to a website:</w:t>
      </w:r>
    </w:p>
    <w:p w14:paraId="38C21FB7" w14:textId="77777777" w:rsidR="008861CC" w:rsidRPr="004B3748" w:rsidRDefault="00EB42E4" w:rsidP="008861CC">
      <w:pPr>
        <w:ind w:left="284" w:hanging="284"/>
        <w:rPr>
          <w:rFonts w:eastAsia="MS Mincho"/>
          <w:sz w:val="20"/>
          <w:szCs w:val="20"/>
          <w:lang w:eastAsia="ja-JP"/>
        </w:rPr>
      </w:pPr>
      <w:r w:rsidRPr="000B283F">
        <w:rPr>
          <w:sz w:val="20"/>
          <w:szCs w:val="20"/>
        </w:rPr>
        <w:t xml:space="preserve">[4] </w:t>
      </w:r>
      <w:r w:rsidR="00F01A91">
        <w:rPr>
          <w:rFonts w:eastAsia="MS Mincho" w:hint="eastAsia"/>
          <w:sz w:val="20"/>
          <w:szCs w:val="20"/>
          <w:lang w:eastAsia="ja-JP"/>
        </w:rPr>
        <w:t>IEICES</w:t>
      </w:r>
      <w:r w:rsidR="004B3748">
        <w:rPr>
          <w:rFonts w:eastAsia="MS Mincho" w:hint="eastAsia"/>
          <w:sz w:val="20"/>
          <w:szCs w:val="20"/>
          <w:lang w:eastAsia="ja-JP"/>
        </w:rPr>
        <w:t xml:space="preserve"> website: </w:t>
      </w:r>
      <w:hyperlink r:id="rId10" w:history="1">
        <w:r w:rsidR="004B3748" w:rsidRPr="004B3748">
          <w:rPr>
            <w:rFonts w:eastAsia="MS Mincho"/>
            <w:sz w:val="20"/>
            <w:szCs w:val="20"/>
            <w:lang w:eastAsia="ja-JP"/>
          </w:rPr>
          <w:t>http://www.tj.kyushu-u.ac.jp/en/igses/ieices</w:t>
        </w:r>
      </w:hyperlink>
      <w:r w:rsidR="001C3F1D">
        <w:rPr>
          <w:sz w:val="20"/>
          <w:szCs w:val="20"/>
        </w:rPr>
        <w:t xml:space="preserve">/ (accessed </w:t>
      </w:r>
      <w:r w:rsidR="004B3748">
        <w:rPr>
          <w:rFonts w:eastAsia="MS Mincho" w:hint="eastAsia"/>
          <w:sz w:val="20"/>
          <w:szCs w:val="20"/>
          <w:lang w:eastAsia="ja-JP"/>
        </w:rPr>
        <w:t>16</w:t>
      </w:r>
      <w:r w:rsidR="001C3F1D">
        <w:rPr>
          <w:sz w:val="20"/>
          <w:szCs w:val="20"/>
        </w:rPr>
        <w:t>.03.03).</w:t>
      </w:r>
    </w:p>
    <w:sectPr w:rsidR="008861CC" w:rsidRPr="004B3748" w:rsidSect="00FF6E3D">
      <w:type w:val="continuous"/>
      <w:pgSz w:w="11907" w:h="16840" w:code="9"/>
      <w:pgMar w:top="720" w:right="1134" w:bottom="448" w:left="1134" w:header="397" w:footer="397"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7E2DB" w14:textId="77777777" w:rsidR="00010B90" w:rsidRDefault="00010B90" w:rsidP="009B0163">
      <w:r>
        <w:separator/>
      </w:r>
    </w:p>
  </w:endnote>
  <w:endnote w:type="continuationSeparator" w:id="0">
    <w:p w14:paraId="0A3D336F" w14:textId="77777777" w:rsidR="00010B90" w:rsidRDefault="00010B90" w:rsidP="009B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otumChe">
    <w:altName w:val="돋움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Che">
    <w:altName w:val="바탕체"/>
    <w:charset w:val="81"/>
    <w:family w:val="modern"/>
    <w:pitch w:val="fixed"/>
    <w:sig w:usb0="B00002AF" w:usb1="69D77CFB" w:usb2="00000030" w:usb3="00000000" w:csb0="0008009F" w:csb1="00000000"/>
  </w:font>
  <w:font w:name="Albertus Medium">
    <w:altName w:val="Times New Roman"/>
    <w:charset w:val="01"/>
    <w:family w:val="roman"/>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897A" w14:textId="77777777" w:rsidR="004A0437" w:rsidRDefault="0011484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186D" w14:textId="77777777" w:rsidR="00010B90" w:rsidRDefault="00010B90" w:rsidP="009B0163">
      <w:r>
        <w:separator/>
      </w:r>
    </w:p>
  </w:footnote>
  <w:footnote w:type="continuationSeparator" w:id="0">
    <w:p w14:paraId="704F187F" w14:textId="77777777" w:rsidR="00010B90" w:rsidRDefault="00010B90" w:rsidP="009B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9DF0" w14:textId="2ABDAA52" w:rsidR="005C77CD" w:rsidRPr="00731CB5" w:rsidRDefault="00731CB5" w:rsidP="00731CB5">
    <w:pPr>
      <w:pStyle w:val="Header"/>
      <w:jc w:val="center"/>
      <w:rPr>
        <w:rFonts w:ascii="Albertus Medium" w:hAnsi="Albertus Medium"/>
        <w:b/>
        <w:bCs/>
        <w:color w:val="800000"/>
        <w:sz w:val="21"/>
        <w:szCs w:val="26"/>
      </w:rPr>
    </w:pPr>
    <w:r w:rsidRPr="00731CB5">
      <w:rPr>
        <w:rFonts w:ascii="Albertus Medium" w:hAnsi="Albertus Medium"/>
        <w:b/>
        <w:bCs/>
        <w:color w:val="800000"/>
        <w:sz w:val="21"/>
        <w:szCs w:val="26"/>
      </w:rPr>
      <w:t>Proceeding</w:t>
    </w:r>
    <w:r>
      <w:t xml:space="preserve"> </w:t>
    </w:r>
    <w:r w:rsidRPr="00731CB5">
      <w:rPr>
        <w:rFonts w:ascii="Albertus Medium" w:hAnsi="Albertus Medium"/>
        <w:b/>
        <w:bCs/>
        <w:color w:val="800000"/>
        <w:sz w:val="21"/>
        <w:szCs w:val="26"/>
      </w:rPr>
      <w:t>of International Exchange and Innovation Conference on Engineering &amp; Sciences (IEICES)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DD4"/>
    <w:multiLevelType w:val="hybridMultilevel"/>
    <w:tmpl w:val="BC4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310A2D"/>
    <w:multiLevelType w:val="multilevel"/>
    <w:tmpl w:val="F4F640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7476945">
    <w:abstractNumId w:val="1"/>
  </w:num>
  <w:num w:numId="2" w16cid:durableId="1994140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G0MDc2MrS0MDGwMDNU0lEKTi0uzszPAykwrgUANLjgqCwAAAA="/>
  </w:docVars>
  <w:rsids>
    <w:rsidRoot w:val="009A1F08"/>
    <w:rsid w:val="000063E2"/>
    <w:rsid w:val="00010B90"/>
    <w:rsid w:val="00012719"/>
    <w:rsid w:val="00067BAD"/>
    <w:rsid w:val="00075FFD"/>
    <w:rsid w:val="00076D0E"/>
    <w:rsid w:val="000B283F"/>
    <w:rsid w:val="000D0642"/>
    <w:rsid w:val="0010279E"/>
    <w:rsid w:val="00106B6F"/>
    <w:rsid w:val="00114849"/>
    <w:rsid w:val="0011759D"/>
    <w:rsid w:val="001378BF"/>
    <w:rsid w:val="0014208A"/>
    <w:rsid w:val="00185440"/>
    <w:rsid w:val="001C3F1D"/>
    <w:rsid w:val="00225FFA"/>
    <w:rsid w:val="00230447"/>
    <w:rsid w:val="00287B34"/>
    <w:rsid w:val="0029468A"/>
    <w:rsid w:val="002D5B92"/>
    <w:rsid w:val="002D5D5F"/>
    <w:rsid w:val="002E0797"/>
    <w:rsid w:val="002E3F51"/>
    <w:rsid w:val="00316580"/>
    <w:rsid w:val="0034171D"/>
    <w:rsid w:val="00345E6E"/>
    <w:rsid w:val="00351DBF"/>
    <w:rsid w:val="00355C2E"/>
    <w:rsid w:val="003630BD"/>
    <w:rsid w:val="003C12FE"/>
    <w:rsid w:val="003C7558"/>
    <w:rsid w:val="004138C9"/>
    <w:rsid w:val="00420F7C"/>
    <w:rsid w:val="00430D1C"/>
    <w:rsid w:val="00442894"/>
    <w:rsid w:val="00454A94"/>
    <w:rsid w:val="0049067D"/>
    <w:rsid w:val="00497247"/>
    <w:rsid w:val="004A0437"/>
    <w:rsid w:val="004A149B"/>
    <w:rsid w:val="004B3748"/>
    <w:rsid w:val="004C29CF"/>
    <w:rsid w:val="004F7BFB"/>
    <w:rsid w:val="0051057B"/>
    <w:rsid w:val="00511A5F"/>
    <w:rsid w:val="00524302"/>
    <w:rsid w:val="00537B44"/>
    <w:rsid w:val="0057324E"/>
    <w:rsid w:val="005B30A1"/>
    <w:rsid w:val="005C77CD"/>
    <w:rsid w:val="00604E62"/>
    <w:rsid w:val="006835EA"/>
    <w:rsid w:val="006A6D95"/>
    <w:rsid w:val="006A7325"/>
    <w:rsid w:val="006B54F3"/>
    <w:rsid w:val="006C158D"/>
    <w:rsid w:val="006D16CC"/>
    <w:rsid w:val="00706CB8"/>
    <w:rsid w:val="00731CB5"/>
    <w:rsid w:val="00736059"/>
    <w:rsid w:val="00781675"/>
    <w:rsid w:val="007A275A"/>
    <w:rsid w:val="007A64E8"/>
    <w:rsid w:val="007D4B61"/>
    <w:rsid w:val="007E3DA0"/>
    <w:rsid w:val="008009E5"/>
    <w:rsid w:val="00821F83"/>
    <w:rsid w:val="00840C83"/>
    <w:rsid w:val="00863E15"/>
    <w:rsid w:val="00866F11"/>
    <w:rsid w:val="00876FED"/>
    <w:rsid w:val="008858A7"/>
    <w:rsid w:val="008861CC"/>
    <w:rsid w:val="0089413A"/>
    <w:rsid w:val="008A1D38"/>
    <w:rsid w:val="008D15A3"/>
    <w:rsid w:val="00914984"/>
    <w:rsid w:val="009337AD"/>
    <w:rsid w:val="00955E62"/>
    <w:rsid w:val="00995426"/>
    <w:rsid w:val="009A1F08"/>
    <w:rsid w:val="009B0163"/>
    <w:rsid w:val="00A0410E"/>
    <w:rsid w:val="00A221C6"/>
    <w:rsid w:val="00A224DE"/>
    <w:rsid w:val="00A26B82"/>
    <w:rsid w:val="00A55AFC"/>
    <w:rsid w:val="00A6042D"/>
    <w:rsid w:val="00A65058"/>
    <w:rsid w:val="00AD3970"/>
    <w:rsid w:val="00B71B02"/>
    <w:rsid w:val="00B7423C"/>
    <w:rsid w:val="00BB4668"/>
    <w:rsid w:val="00BD4083"/>
    <w:rsid w:val="00C21EE8"/>
    <w:rsid w:val="00C23905"/>
    <w:rsid w:val="00C3050C"/>
    <w:rsid w:val="00C33593"/>
    <w:rsid w:val="00C34DF8"/>
    <w:rsid w:val="00C3555D"/>
    <w:rsid w:val="00C728C0"/>
    <w:rsid w:val="00C97FA6"/>
    <w:rsid w:val="00CB2C0D"/>
    <w:rsid w:val="00CC16B0"/>
    <w:rsid w:val="00D55840"/>
    <w:rsid w:val="00D579CF"/>
    <w:rsid w:val="00DB60D6"/>
    <w:rsid w:val="00DC42F2"/>
    <w:rsid w:val="00DE1E1B"/>
    <w:rsid w:val="00E42FAC"/>
    <w:rsid w:val="00E70602"/>
    <w:rsid w:val="00EB42E4"/>
    <w:rsid w:val="00F01A2E"/>
    <w:rsid w:val="00F01A91"/>
    <w:rsid w:val="00F1397B"/>
    <w:rsid w:val="00F410E2"/>
    <w:rsid w:val="00F64545"/>
    <w:rsid w:val="00F65155"/>
    <w:rsid w:val="00FD3E68"/>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v:textbox inset="5.85pt,.7pt,5.85pt,.7pt"/>
    </o:shapedefaults>
    <o:shapelayout v:ext="edit">
      <o:idmap v:ext="edit" data="2"/>
    </o:shapelayout>
  </w:shapeDefaults>
  <w:decimalSymbol w:val="."/>
  <w:listSeparator w:val=","/>
  <w14:docId w14:val="30EB8A16"/>
  <w15:chartTrackingRefBased/>
  <w15:docId w15:val="{7CF19704-8FB9-419D-8F27-CDD5E8B3B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62"/>
    <w:rPr>
      <w:rFonts w:ascii="Tahoma" w:hAnsi="Tahoma" w:cs="Tahoma"/>
      <w:sz w:val="16"/>
      <w:szCs w:val="16"/>
    </w:rPr>
  </w:style>
  <w:style w:type="character" w:styleId="Hyperlink">
    <w:name w:val="Hyperlink"/>
    <w:rsid w:val="00995426"/>
    <w:rPr>
      <w:color w:val="0000FF"/>
      <w:u w:val="single"/>
    </w:rPr>
  </w:style>
  <w:style w:type="paragraph" w:customStyle="1" w:styleId="Title1">
    <w:name w:val="Title1"/>
    <w:basedOn w:val="Normal"/>
    <w:next w:val="Normal"/>
    <w:rsid w:val="00A221C6"/>
    <w:pPr>
      <w:widowControl w:val="0"/>
      <w:wordWrap w:val="0"/>
      <w:ind w:firstLine="284"/>
      <w:jc w:val="center"/>
    </w:pPr>
    <w:rPr>
      <w:rFonts w:eastAsia="DotumChe"/>
      <w:b/>
      <w:kern w:val="2"/>
      <w:sz w:val="28"/>
      <w:szCs w:val="20"/>
      <w:lang w:eastAsia="ko-KR"/>
    </w:rPr>
  </w:style>
  <w:style w:type="paragraph" w:customStyle="1" w:styleId="Author">
    <w:name w:val="Author"/>
    <w:basedOn w:val="Normal"/>
    <w:next w:val="Normal"/>
    <w:rsid w:val="00A221C6"/>
    <w:pPr>
      <w:widowControl w:val="0"/>
      <w:wordWrap w:val="0"/>
      <w:ind w:firstLine="284"/>
      <w:jc w:val="center"/>
    </w:pPr>
    <w:rPr>
      <w:rFonts w:eastAsia="DotumChe"/>
      <w:kern w:val="2"/>
      <w:sz w:val="20"/>
      <w:szCs w:val="20"/>
      <w:lang w:eastAsia="ko-KR"/>
    </w:rPr>
  </w:style>
  <w:style w:type="paragraph" w:customStyle="1" w:styleId="Text">
    <w:name w:val="Text"/>
    <w:basedOn w:val="Normal"/>
    <w:rsid w:val="00A221C6"/>
    <w:pPr>
      <w:widowControl w:val="0"/>
      <w:autoSpaceDE w:val="0"/>
      <w:autoSpaceDN w:val="0"/>
      <w:spacing w:line="252" w:lineRule="auto"/>
      <w:ind w:firstLine="202"/>
      <w:jc w:val="both"/>
    </w:pPr>
    <w:rPr>
      <w:rFonts w:eastAsia="Times New Roman"/>
      <w:sz w:val="20"/>
      <w:szCs w:val="20"/>
      <w:lang w:eastAsia="en-US"/>
    </w:rPr>
  </w:style>
  <w:style w:type="paragraph" w:styleId="FootnoteText">
    <w:name w:val="footnote text"/>
    <w:basedOn w:val="Normal"/>
    <w:link w:val="FootnoteTextChar"/>
    <w:semiHidden/>
    <w:rsid w:val="00012719"/>
    <w:pPr>
      <w:autoSpaceDE w:val="0"/>
      <w:autoSpaceDN w:val="0"/>
      <w:ind w:firstLine="202"/>
      <w:jc w:val="both"/>
    </w:pPr>
    <w:rPr>
      <w:rFonts w:eastAsia="Times New Roman"/>
      <w:sz w:val="16"/>
      <w:szCs w:val="16"/>
      <w:lang w:eastAsia="en-US"/>
    </w:rPr>
  </w:style>
  <w:style w:type="character" w:customStyle="1" w:styleId="FootnoteTextChar">
    <w:name w:val="Footnote Text Char"/>
    <w:link w:val="FootnoteText"/>
    <w:semiHidden/>
    <w:rsid w:val="00012719"/>
    <w:rPr>
      <w:rFonts w:eastAsia="Times New Roman"/>
      <w:sz w:val="16"/>
      <w:szCs w:val="16"/>
      <w:lang w:val="en-US" w:eastAsia="en-US"/>
    </w:rPr>
  </w:style>
  <w:style w:type="paragraph" w:customStyle="1" w:styleId="TableTitle">
    <w:name w:val="Table Title"/>
    <w:basedOn w:val="Normal"/>
    <w:rsid w:val="00012719"/>
    <w:pPr>
      <w:autoSpaceDE w:val="0"/>
      <w:autoSpaceDN w:val="0"/>
      <w:jc w:val="center"/>
    </w:pPr>
    <w:rPr>
      <w:rFonts w:eastAsia="Times New Roman"/>
      <w:smallCaps/>
      <w:sz w:val="16"/>
      <w:szCs w:val="16"/>
      <w:lang w:eastAsia="en-US"/>
    </w:rPr>
  </w:style>
  <w:style w:type="paragraph" w:customStyle="1" w:styleId="TTPTitle">
    <w:name w:val="TTP Title"/>
    <w:basedOn w:val="Normal"/>
    <w:next w:val="Normal"/>
    <w:uiPriority w:val="99"/>
    <w:rsid w:val="002D5D5F"/>
    <w:pPr>
      <w:autoSpaceDE w:val="0"/>
      <w:autoSpaceDN w:val="0"/>
      <w:spacing w:after="120"/>
      <w:jc w:val="center"/>
    </w:pPr>
    <w:rPr>
      <w:rFonts w:ascii="Arial" w:hAnsi="Arial" w:cs="Arial"/>
      <w:b/>
      <w:bCs/>
      <w:sz w:val="30"/>
      <w:szCs w:val="30"/>
      <w:lang w:eastAsia="en-US"/>
    </w:rPr>
  </w:style>
  <w:style w:type="paragraph" w:customStyle="1" w:styleId="para">
    <w:name w:val="para"/>
    <w:basedOn w:val="Normal"/>
    <w:next w:val="para1"/>
    <w:rsid w:val="002D5D5F"/>
    <w:pPr>
      <w:suppressAutoHyphens/>
      <w:overflowPunct w:val="0"/>
      <w:autoSpaceDE w:val="0"/>
      <w:autoSpaceDN w:val="0"/>
      <w:adjustRightInd w:val="0"/>
      <w:jc w:val="both"/>
      <w:textAlignment w:val="baseline"/>
    </w:pPr>
    <w:rPr>
      <w:rFonts w:eastAsia="MS Mincho"/>
      <w:sz w:val="20"/>
      <w:szCs w:val="20"/>
      <w:lang w:eastAsia="en-US"/>
    </w:rPr>
  </w:style>
  <w:style w:type="paragraph" w:customStyle="1" w:styleId="para1">
    <w:name w:val="para1"/>
    <w:basedOn w:val="para"/>
    <w:rsid w:val="002D5D5F"/>
    <w:pPr>
      <w:ind w:firstLine="288"/>
    </w:pPr>
  </w:style>
  <w:style w:type="paragraph" w:styleId="Header">
    <w:name w:val="header"/>
    <w:basedOn w:val="Normal"/>
    <w:link w:val="HeaderChar"/>
    <w:uiPriority w:val="99"/>
    <w:unhideWhenUsed/>
    <w:rsid w:val="009B0163"/>
    <w:pPr>
      <w:tabs>
        <w:tab w:val="center" w:pos="4513"/>
        <w:tab w:val="right" w:pos="9026"/>
      </w:tabs>
    </w:pPr>
  </w:style>
  <w:style w:type="character" w:customStyle="1" w:styleId="HeaderChar">
    <w:name w:val="Header Char"/>
    <w:link w:val="Header"/>
    <w:uiPriority w:val="99"/>
    <w:rsid w:val="009B0163"/>
    <w:rPr>
      <w:sz w:val="24"/>
      <w:szCs w:val="24"/>
      <w:lang w:val="en-US" w:eastAsia="zh-CN"/>
    </w:rPr>
  </w:style>
  <w:style w:type="paragraph" w:styleId="Footer">
    <w:name w:val="footer"/>
    <w:basedOn w:val="Normal"/>
    <w:link w:val="FooterChar"/>
    <w:uiPriority w:val="99"/>
    <w:unhideWhenUsed/>
    <w:rsid w:val="009B0163"/>
    <w:pPr>
      <w:tabs>
        <w:tab w:val="center" w:pos="4513"/>
        <w:tab w:val="right" w:pos="9026"/>
      </w:tabs>
    </w:pPr>
  </w:style>
  <w:style w:type="character" w:customStyle="1" w:styleId="FooterChar">
    <w:name w:val="Footer Char"/>
    <w:link w:val="Footer"/>
    <w:uiPriority w:val="99"/>
    <w:rsid w:val="009B0163"/>
    <w:rPr>
      <w:sz w:val="24"/>
      <w:szCs w:val="24"/>
      <w:lang w:val="en-US" w:eastAsia="zh-CN"/>
    </w:rPr>
  </w:style>
  <w:style w:type="table" w:styleId="TableGrid">
    <w:name w:val="Table Grid"/>
    <w:basedOn w:val="TableNormal"/>
    <w:uiPriority w:val="59"/>
    <w:rsid w:val="00142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j.kyushu-u.ac.jp/en/igses/ieices/" TargetMode="Externa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40709106277045E-2"/>
          <c:y val="1.6072676450034937E-2"/>
          <c:w val="0.86872369767338853"/>
          <c:h val="0.79908838532448367"/>
        </c:manualLayout>
      </c:layout>
      <c:scatterChart>
        <c:scatterStyle val="smoothMarker"/>
        <c:varyColors val="0"/>
        <c:ser>
          <c:idx val="0"/>
          <c:order val="0"/>
          <c:tx>
            <c:v>As(III) Exp.</c:v>
          </c:tx>
          <c:spPr>
            <a:ln w="12700">
              <a:noFill/>
              <a:prstDash val="solid"/>
            </a:ln>
          </c:spPr>
          <c:marker>
            <c:symbol val="diamond"/>
            <c:size val="7"/>
            <c:spPr>
              <a:solidFill>
                <a:sysClr val="windowText" lastClr="000000"/>
              </a:solidFill>
              <a:ln>
                <a:solidFill>
                  <a:sysClr val="windowText" lastClr="000000"/>
                </a:solidFill>
              </a:ln>
            </c:spPr>
          </c:marker>
          <c:xVal>
            <c:numRef>
              <c:f>Sheet1!$S$6:$S$13</c:f>
              <c:numCache>
                <c:formatCode>General</c:formatCode>
                <c:ptCount val="8"/>
                <c:pt idx="0">
                  <c:v>0</c:v>
                </c:pt>
                <c:pt idx="1">
                  <c:v>1</c:v>
                </c:pt>
                <c:pt idx="2">
                  <c:v>3</c:v>
                </c:pt>
                <c:pt idx="3">
                  <c:v>6</c:v>
                </c:pt>
                <c:pt idx="4">
                  <c:v>21</c:v>
                </c:pt>
                <c:pt idx="5">
                  <c:v>48</c:v>
                </c:pt>
                <c:pt idx="6">
                  <c:v>69</c:v>
                </c:pt>
                <c:pt idx="7">
                  <c:v>120</c:v>
                </c:pt>
              </c:numCache>
            </c:numRef>
          </c:xVal>
          <c:yVal>
            <c:numRef>
              <c:f>Sheet1!$T$6:$T$13</c:f>
              <c:numCache>
                <c:formatCode>General</c:formatCode>
                <c:ptCount val="8"/>
                <c:pt idx="0">
                  <c:v>5</c:v>
                </c:pt>
                <c:pt idx="1">
                  <c:v>4.5</c:v>
                </c:pt>
                <c:pt idx="2">
                  <c:v>2.4299999999999997</c:v>
                </c:pt>
                <c:pt idx="3">
                  <c:v>0.92500000000000004</c:v>
                </c:pt>
                <c:pt idx="4">
                  <c:v>0.37000000000000038</c:v>
                </c:pt>
                <c:pt idx="5">
                  <c:v>0.32250000000000068</c:v>
                </c:pt>
                <c:pt idx="6">
                  <c:v>0.33000000000000085</c:v>
                </c:pt>
                <c:pt idx="7">
                  <c:v>0.2</c:v>
                </c:pt>
              </c:numCache>
            </c:numRef>
          </c:yVal>
          <c:smooth val="1"/>
          <c:extLst>
            <c:ext xmlns:c16="http://schemas.microsoft.com/office/drawing/2014/chart" uri="{C3380CC4-5D6E-409C-BE32-E72D297353CC}">
              <c16:uniqueId val="{00000000-AA08-4522-A894-9B9A5466E92E}"/>
            </c:ext>
          </c:extLst>
        </c:ser>
        <c:ser>
          <c:idx val="1"/>
          <c:order val="1"/>
          <c:tx>
            <c:v>As(V) Exp.</c:v>
          </c:tx>
          <c:spPr>
            <a:ln w="12700">
              <a:noFill/>
            </a:ln>
          </c:spPr>
          <c:marker>
            <c:symbol val="square"/>
            <c:size val="7"/>
            <c:spPr>
              <a:solidFill>
                <a:sysClr val="windowText" lastClr="000000"/>
              </a:solidFill>
              <a:ln>
                <a:solidFill>
                  <a:sysClr val="windowText" lastClr="000000"/>
                </a:solidFill>
              </a:ln>
            </c:spPr>
          </c:marker>
          <c:xVal>
            <c:numRef>
              <c:f>Sheet1!$S$6:$S$13</c:f>
              <c:numCache>
                <c:formatCode>General</c:formatCode>
                <c:ptCount val="8"/>
                <c:pt idx="0">
                  <c:v>0</c:v>
                </c:pt>
                <c:pt idx="1">
                  <c:v>1</c:v>
                </c:pt>
                <c:pt idx="2">
                  <c:v>3</c:v>
                </c:pt>
                <c:pt idx="3">
                  <c:v>6</c:v>
                </c:pt>
                <c:pt idx="4">
                  <c:v>21</c:v>
                </c:pt>
                <c:pt idx="5">
                  <c:v>48</c:v>
                </c:pt>
                <c:pt idx="6">
                  <c:v>69</c:v>
                </c:pt>
                <c:pt idx="7">
                  <c:v>120</c:v>
                </c:pt>
              </c:numCache>
            </c:numRef>
          </c:xVal>
          <c:yVal>
            <c:numRef>
              <c:f>Sheet1!$U$6:$U$13</c:f>
              <c:numCache>
                <c:formatCode>General</c:formatCode>
                <c:ptCount val="8"/>
                <c:pt idx="0">
                  <c:v>0</c:v>
                </c:pt>
                <c:pt idx="1">
                  <c:v>0.77500000000000147</c:v>
                </c:pt>
                <c:pt idx="2">
                  <c:v>1.62</c:v>
                </c:pt>
                <c:pt idx="3">
                  <c:v>2.1149999999999998</c:v>
                </c:pt>
                <c:pt idx="4">
                  <c:v>2.4149999999999987</c:v>
                </c:pt>
                <c:pt idx="5">
                  <c:v>2.4575</c:v>
                </c:pt>
                <c:pt idx="6">
                  <c:v>2.5</c:v>
                </c:pt>
                <c:pt idx="7">
                  <c:v>2.5575000000000001</c:v>
                </c:pt>
              </c:numCache>
            </c:numRef>
          </c:yVal>
          <c:smooth val="1"/>
          <c:extLst>
            <c:ext xmlns:c16="http://schemas.microsoft.com/office/drawing/2014/chart" uri="{C3380CC4-5D6E-409C-BE32-E72D297353CC}">
              <c16:uniqueId val="{00000001-AA08-4522-A894-9B9A5466E92E}"/>
            </c:ext>
          </c:extLst>
        </c:ser>
        <c:ser>
          <c:idx val="2"/>
          <c:order val="2"/>
          <c:tx>
            <c:v>Total As Exp.</c:v>
          </c:tx>
          <c:spPr>
            <a:ln w="12700">
              <a:noFill/>
            </a:ln>
          </c:spPr>
          <c:marker>
            <c:symbol val="triangle"/>
            <c:size val="7"/>
            <c:spPr>
              <a:solidFill>
                <a:schemeClr val="tx1"/>
              </a:solidFill>
              <a:ln>
                <a:solidFill>
                  <a:schemeClr val="tx1"/>
                </a:solidFill>
              </a:ln>
            </c:spPr>
          </c:marker>
          <c:xVal>
            <c:numRef>
              <c:f>Sheet1!$S$6:$S$13</c:f>
              <c:numCache>
                <c:formatCode>General</c:formatCode>
                <c:ptCount val="8"/>
                <c:pt idx="0">
                  <c:v>0</c:v>
                </c:pt>
                <c:pt idx="1">
                  <c:v>1</c:v>
                </c:pt>
                <c:pt idx="2">
                  <c:v>3</c:v>
                </c:pt>
                <c:pt idx="3">
                  <c:v>6</c:v>
                </c:pt>
                <c:pt idx="4">
                  <c:v>21</c:v>
                </c:pt>
                <c:pt idx="5">
                  <c:v>48</c:v>
                </c:pt>
                <c:pt idx="6">
                  <c:v>69</c:v>
                </c:pt>
                <c:pt idx="7">
                  <c:v>120</c:v>
                </c:pt>
              </c:numCache>
            </c:numRef>
          </c:xVal>
          <c:yVal>
            <c:numRef>
              <c:f>Sheet1!$V$6:$V$13</c:f>
              <c:numCache>
                <c:formatCode>General</c:formatCode>
                <c:ptCount val="8"/>
                <c:pt idx="0">
                  <c:v>5</c:v>
                </c:pt>
                <c:pt idx="1">
                  <c:v>5.2750000000000004</c:v>
                </c:pt>
                <c:pt idx="2">
                  <c:v>4.0500000000000007</c:v>
                </c:pt>
                <c:pt idx="3">
                  <c:v>3.04</c:v>
                </c:pt>
                <c:pt idx="4">
                  <c:v>2.7850000000000001</c:v>
                </c:pt>
                <c:pt idx="5">
                  <c:v>2.7800000000000002</c:v>
                </c:pt>
                <c:pt idx="6">
                  <c:v>2.8299999999999987</c:v>
                </c:pt>
                <c:pt idx="7">
                  <c:v>2.7575000000000012</c:v>
                </c:pt>
              </c:numCache>
            </c:numRef>
          </c:yVal>
          <c:smooth val="1"/>
          <c:extLst>
            <c:ext xmlns:c16="http://schemas.microsoft.com/office/drawing/2014/chart" uri="{C3380CC4-5D6E-409C-BE32-E72D297353CC}">
              <c16:uniqueId val="{00000002-AA08-4522-A894-9B9A5466E92E}"/>
            </c:ext>
          </c:extLst>
        </c:ser>
        <c:ser>
          <c:idx val="3"/>
          <c:order val="3"/>
          <c:tx>
            <c:v>As(III) Model</c:v>
          </c:tx>
          <c:spPr>
            <a:ln w="28575">
              <a:solidFill>
                <a:sysClr val="windowText" lastClr="000000"/>
              </a:solidFill>
            </a:ln>
          </c:spPr>
          <c:marker>
            <c:symbol val="none"/>
          </c:marker>
          <c:xVal>
            <c:numRef>
              <c:f>Sheet1!$B$2:$B$122</c:f>
              <c:numCache>
                <c:formatCode>General</c:formatCode>
                <c:ptCount val="1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numCache>
            </c:numRef>
          </c:xVal>
          <c:yVal>
            <c:numRef>
              <c:f>Sheet1!$C$2:$C$122</c:f>
              <c:numCache>
                <c:formatCode>General</c:formatCode>
                <c:ptCount val="121"/>
                <c:pt idx="0">
                  <c:v>5</c:v>
                </c:pt>
                <c:pt idx="1">
                  <c:v>3.5743999999999998</c:v>
                </c:pt>
                <c:pt idx="2">
                  <c:v>2.65463</c:v>
                </c:pt>
                <c:pt idx="3">
                  <c:v>2.0381399999999998</c:v>
                </c:pt>
                <c:pt idx="4">
                  <c:v>1.61097</c:v>
                </c:pt>
                <c:pt idx="5">
                  <c:v>1.3062499999999999</c:v>
                </c:pt>
                <c:pt idx="6">
                  <c:v>1.0832599999999999</c:v>
                </c:pt>
                <c:pt idx="7">
                  <c:v>0.91635999999999951</c:v>
                </c:pt>
                <c:pt idx="8">
                  <c:v>0.78893999999999997</c:v>
                </c:pt>
                <c:pt idx="9">
                  <c:v>0.68994000000000122</c:v>
                </c:pt>
                <c:pt idx="10">
                  <c:v>0.61180000000000134</c:v>
                </c:pt>
                <c:pt idx="11">
                  <c:v>0.54927000000000004</c:v>
                </c:pt>
                <c:pt idx="12">
                  <c:v>0.49860000000000032</c:v>
                </c:pt>
                <c:pt idx="13">
                  <c:v>0.45709</c:v>
                </c:pt>
                <c:pt idx="14">
                  <c:v>0.42275000000000001</c:v>
                </c:pt>
                <c:pt idx="15">
                  <c:v>0.39408000000000115</c:v>
                </c:pt>
                <c:pt idx="16">
                  <c:v>0.36997000000000085</c:v>
                </c:pt>
                <c:pt idx="17">
                  <c:v>0.34953000000000001</c:v>
                </c:pt>
                <c:pt idx="18">
                  <c:v>0.33211000000000085</c:v>
                </c:pt>
                <c:pt idx="19">
                  <c:v>0.31717000000000067</c:v>
                </c:pt>
                <c:pt idx="20">
                  <c:v>0.30429</c:v>
                </c:pt>
                <c:pt idx="21">
                  <c:v>0.29314000000000001</c:v>
                </c:pt>
                <c:pt idx="22">
                  <c:v>0.28345000000000031</c:v>
                </c:pt>
                <c:pt idx="23">
                  <c:v>0.27499000000000001</c:v>
                </c:pt>
                <c:pt idx="24">
                  <c:v>0.26758000000000032</c:v>
                </c:pt>
                <c:pt idx="25">
                  <c:v>0.26108000000000031</c:v>
                </c:pt>
                <c:pt idx="26">
                  <c:v>0.25535000000000002</c:v>
                </c:pt>
                <c:pt idx="27">
                  <c:v>0.25028999999999996</c:v>
                </c:pt>
                <c:pt idx="28">
                  <c:v>0.24582000000000001</c:v>
                </c:pt>
                <c:pt idx="29">
                  <c:v>0.24185999999999999</c:v>
                </c:pt>
                <c:pt idx="30">
                  <c:v>0.2383400000000003</c:v>
                </c:pt>
                <c:pt idx="31">
                  <c:v>0.23521000000000034</c:v>
                </c:pt>
                <c:pt idx="32">
                  <c:v>0.23242000000000004</c:v>
                </c:pt>
                <c:pt idx="33">
                  <c:v>0.2299300000000003</c:v>
                </c:pt>
                <c:pt idx="34">
                  <c:v>0.2277100000000003</c:v>
                </c:pt>
                <c:pt idx="35">
                  <c:v>0.22572999999999999</c:v>
                </c:pt>
                <c:pt idx="36">
                  <c:v>0.22395000000000001</c:v>
                </c:pt>
                <c:pt idx="37">
                  <c:v>0.22236</c:v>
                </c:pt>
                <c:pt idx="38">
                  <c:v>0.2209400000000003</c:v>
                </c:pt>
                <c:pt idx="39">
                  <c:v>0.21965999999999999</c:v>
                </c:pt>
                <c:pt idx="40">
                  <c:v>0.21851000000000045</c:v>
                </c:pt>
                <c:pt idx="41">
                  <c:v>0.21749000000000049</c:v>
                </c:pt>
                <c:pt idx="42">
                  <c:v>0.21656000000000034</c:v>
                </c:pt>
                <c:pt idx="43">
                  <c:v>0.21573000000000037</c:v>
                </c:pt>
                <c:pt idx="44">
                  <c:v>0.21498000000000037</c:v>
                </c:pt>
                <c:pt idx="45">
                  <c:v>0.21431000000000033</c:v>
                </c:pt>
                <c:pt idx="46">
                  <c:v>0.21371000000000046</c:v>
                </c:pt>
                <c:pt idx="47">
                  <c:v>0.21315999999999999</c:v>
                </c:pt>
                <c:pt idx="48">
                  <c:v>0.21267</c:v>
                </c:pt>
                <c:pt idx="49">
                  <c:v>0.21223000000000034</c:v>
                </c:pt>
                <c:pt idx="50">
                  <c:v>0.21184000000000033</c:v>
                </c:pt>
                <c:pt idx="51">
                  <c:v>0.21148000000000033</c:v>
                </c:pt>
                <c:pt idx="52">
                  <c:v>0.21115999999999999</c:v>
                </c:pt>
                <c:pt idx="53">
                  <c:v>0.21087</c:v>
                </c:pt>
                <c:pt idx="54">
                  <c:v>0.21060999999999999</c:v>
                </c:pt>
                <c:pt idx="55">
                  <c:v>0.21037</c:v>
                </c:pt>
                <c:pt idx="56">
                  <c:v>0.21016000000000001</c:v>
                </c:pt>
                <c:pt idx="57">
                  <c:v>0.20996000000000037</c:v>
                </c:pt>
                <c:pt idx="58">
                  <c:v>0.20979000000000037</c:v>
                </c:pt>
                <c:pt idx="59">
                  <c:v>0.20963999999999999</c:v>
                </c:pt>
                <c:pt idx="60">
                  <c:v>0.20950000000000021</c:v>
                </c:pt>
                <c:pt idx="61">
                  <c:v>0.20937</c:v>
                </c:pt>
                <c:pt idx="62">
                  <c:v>0.20925000000000021</c:v>
                </c:pt>
                <c:pt idx="63">
                  <c:v>0.20915</c:v>
                </c:pt>
                <c:pt idx="64">
                  <c:v>0.2090600000000003</c:v>
                </c:pt>
                <c:pt idx="65">
                  <c:v>0.20897000000000004</c:v>
                </c:pt>
                <c:pt idx="66">
                  <c:v>0.20890000000000034</c:v>
                </c:pt>
                <c:pt idx="67">
                  <c:v>0.20882999999999999</c:v>
                </c:pt>
                <c:pt idx="68">
                  <c:v>0.20877000000000001</c:v>
                </c:pt>
                <c:pt idx="69">
                  <c:v>0.20871000000000037</c:v>
                </c:pt>
                <c:pt idx="70">
                  <c:v>0.20866000000000001</c:v>
                </c:pt>
                <c:pt idx="71">
                  <c:v>0.20862</c:v>
                </c:pt>
                <c:pt idx="72">
                  <c:v>0.20857999999999999</c:v>
                </c:pt>
                <c:pt idx="73">
                  <c:v>0.20854000000000034</c:v>
                </c:pt>
                <c:pt idx="74">
                  <c:v>0.20851000000000033</c:v>
                </c:pt>
                <c:pt idx="75">
                  <c:v>0.20848000000000033</c:v>
                </c:pt>
                <c:pt idx="76">
                  <c:v>0.2084500000000003</c:v>
                </c:pt>
                <c:pt idx="77">
                  <c:v>0.20843000000000036</c:v>
                </c:pt>
                <c:pt idx="78">
                  <c:v>0.20840000000000033</c:v>
                </c:pt>
                <c:pt idx="79">
                  <c:v>0.20838000000000001</c:v>
                </c:pt>
                <c:pt idx="80">
                  <c:v>0.20837</c:v>
                </c:pt>
                <c:pt idx="81">
                  <c:v>0.20835000000000001</c:v>
                </c:pt>
                <c:pt idx="82">
                  <c:v>0.20832999999999999</c:v>
                </c:pt>
                <c:pt idx="83">
                  <c:v>0.20832000000000001</c:v>
                </c:pt>
                <c:pt idx="84">
                  <c:v>0.20831000000000024</c:v>
                </c:pt>
                <c:pt idx="85">
                  <c:v>0.20830000000000001</c:v>
                </c:pt>
                <c:pt idx="86">
                  <c:v>0.20829000000000034</c:v>
                </c:pt>
                <c:pt idx="87">
                  <c:v>0.20827999999999999</c:v>
                </c:pt>
                <c:pt idx="88">
                  <c:v>0.20827000000000001</c:v>
                </c:pt>
                <c:pt idx="89">
                  <c:v>0.20827000000000001</c:v>
                </c:pt>
                <c:pt idx="90">
                  <c:v>0.20826000000000033</c:v>
                </c:pt>
                <c:pt idx="91">
                  <c:v>0.20825000000000021</c:v>
                </c:pt>
                <c:pt idx="92">
                  <c:v>0.20825000000000021</c:v>
                </c:pt>
                <c:pt idx="93">
                  <c:v>0.20824000000000037</c:v>
                </c:pt>
                <c:pt idx="94">
                  <c:v>0.20824000000000037</c:v>
                </c:pt>
                <c:pt idx="95">
                  <c:v>0.2082300000000003</c:v>
                </c:pt>
                <c:pt idx="96">
                  <c:v>0.2082300000000003</c:v>
                </c:pt>
                <c:pt idx="97">
                  <c:v>0.2082300000000003</c:v>
                </c:pt>
                <c:pt idx="98">
                  <c:v>0.2082300000000003</c:v>
                </c:pt>
                <c:pt idx="99">
                  <c:v>0.20822000000000004</c:v>
                </c:pt>
                <c:pt idx="100">
                  <c:v>0.20822000000000004</c:v>
                </c:pt>
                <c:pt idx="101">
                  <c:v>0.20822000000000004</c:v>
                </c:pt>
                <c:pt idx="102">
                  <c:v>0.20822000000000004</c:v>
                </c:pt>
                <c:pt idx="103">
                  <c:v>0.20821000000000037</c:v>
                </c:pt>
                <c:pt idx="104">
                  <c:v>0.20821000000000037</c:v>
                </c:pt>
                <c:pt idx="105">
                  <c:v>0.20821000000000037</c:v>
                </c:pt>
                <c:pt idx="106">
                  <c:v>0.20821000000000037</c:v>
                </c:pt>
                <c:pt idx="107">
                  <c:v>0.20821000000000037</c:v>
                </c:pt>
                <c:pt idx="108">
                  <c:v>0.20821000000000037</c:v>
                </c:pt>
                <c:pt idx="109">
                  <c:v>0.20821000000000037</c:v>
                </c:pt>
                <c:pt idx="110">
                  <c:v>0.20821000000000037</c:v>
                </c:pt>
                <c:pt idx="111">
                  <c:v>0.20821000000000037</c:v>
                </c:pt>
                <c:pt idx="112">
                  <c:v>0.20821000000000037</c:v>
                </c:pt>
                <c:pt idx="113">
                  <c:v>0.2082000000000003</c:v>
                </c:pt>
                <c:pt idx="114">
                  <c:v>0.2082000000000003</c:v>
                </c:pt>
                <c:pt idx="115">
                  <c:v>0.2082000000000003</c:v>
                </c:pt>
                <c:pt idx="116">
                  <c:v>0.2082000000000003</c:v>
                </c:pt>
                <c:pt idx="117">
                  <c:v>0.2082000000000003</c:v>
                </c:pt>
                <c:pt idx="118">
                  <c:v>0.2082000000000003</c:v>
                </c:pt>
                <c:pt idx="119">
                  <c:v>0.2082000000000003</c:v>
                </c:pt>
                <c:pt idx="120">
                  <c:v>0.2082000000000003</c:v>
                </c:pt>
              </c:numCache>
            </c:numRef>
          </c:yVal>
          <c:smooth val="1"/>
          <c:extLst>
            <c:ext xmlns:c16="http://schemas.microsoft.com/office/drawing/2014/chart" uri="{C3380CC4-5D6E-409C-BE32-E72D297353CC}">
              <c16:uniqueId val="{00000003-AA08-4522-A894-9B9A5466E92E}"/>
            </c:ext>
          </c:extLst>
        </c:ser>
        <c:ser>
          <c:idx val="4"/>
          <c:order val="4"/>
          <c:tx>
            <c:v>As(V) Model</c:v>
          </c:tx>
          <c:spPr>
            <a:ln w="28575">
              <a:solidFill>
                <a:sysClr val="windowText" lastClr="000000"/>
              </a:solidFill>
              <a:prstDash val="sysDot"/>
            </a:ln>
          </c:spPr>
          <c:marker>
            <c:symbol val="none"/>
          </c:marker>
          <c:xVal>
            <c:numRef>
              <c:f>Sheet1!$B$2:$B$122</c:f>
              <c:numCache>
                <c:formatCode>General</c:formatCode>
                <c:ptCount val="1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numCache>
            </c:numRef>
          </c:xVal>
          <c:yVal>
            <c:numRef>
              <c:f>Sheet1!$D$2:$D$122</c:f>
              <c:numCache>
                <c:formatCode>General</c:formatCode>
                <c:ptCount val="121"/>
                <c:pt idx="0">
                  <c:v>0</c:v>
                </c:pt>
                <c:pt idx="1">
                  <c:v>0.71470000000000133</c:v>
                </c:pt>
                <c:pt idx="2">
                  <c:v>1.1852</c:v>
                </c:pt>
                <c:pt idx="3">
                  <c:v>1.5062500000000001</c:v>
                </c:pt>
                <c:pt idx="4">
                  <c:v>1.7322500000000001</c:v>
                </c:pt>
                <c:pt idx="5">
                  <c:v>1.8957599999999999</c:v>
                </c:pt>
                <c:pt idx="6">
                  <c:v>2.0169299999999977</c:v>
                </c:pt>
                <c:pt idx="7">
                  <c:v>2.1086299999999998</c:v>
                </c:pt>
                <c:pt idx="8">
                  <c:v>2.1793399999999998</c:v>
                </c:pt>
                <c:pt idx="9">
                  <c:v>2.2347800000000002</c:v>
                </c:pt>
                <c:pt idx="10">
                  <c:v>2.2788900000000001</c:v>
                </c:pt>
                <c:pt idx="11">
                  <c:v>2.3144399999999967</c:v>
                </c:pt>
                <c:pt idx="12">
                  <c:v>2.3434300000000001</c:v>
                </c:pt>
                <c:pt idx="13">
                  <c:v>2.3673199999999999</c:v>
                </c:pt>
                <c:pt idx="14">
                  <c:v>2.3871899999999999</c:v>
                </c:pt>
                <c:pt idx="15">
                  <c:v>2.4038399999999998</c:v>
                </c:pt>
                <c:pt idx="16">
                  <c:v>2.4179200000000001</c:v>
                </c:pt>
                <c:pt idx="17">
                  <c:v>2.4298899999999977</c:v>
                </c:pt>
                <c:pt idx="18">
                  <c:v>2.4401299999999999</c:v>
                </c:pt>
                <c:pt idx="19">
                  <c:v>2.4489399999999999</c:v>
                </c:pt>
                <c:pt idx="20">
                  <c:v>2.4565499999999934</c:v>
                </c:pt>
                <c:pt idx="21">
                  <c:v>2.4631599999999998</c:v>
                </c:pt>
                <c:pt idx="22">
                  <c:v>2.4689100000000002</c:v>
                </c:pt>
                <c:pt idx="23">
                  <c:v>2.4739499999999977</c:v>
                </c:pt>
                <c:pt idx="24">
                  <c:v>2.4783599999999977</c:v>
                </c:pt>
                <c:pt idx="25">
                  <c:v>2.4822499999999943</c:v>
                </c:pt>
                <c:pt idx="26">
                  <c:v>2.4856699999999967</c:v>
                </c:pt>
                <c:pt idx="27">
                  <c:v>2.4887000000000001</c:v>
                </c:pt>
                <c:pt idx="28">
                  <c:v>2.4913799999999977</c:v>
                </c:pt>
                <c:pt idx="29">
                  <c:v>2.49376</c:v>
                </c:pt>
                <c:pt idx="30">
                  <c:v>2.4958699999999943</c:v>
                </c:pt>
                <c:pt idx="31">
                  <c:v>2.49776</c:v>
                </c:pt>
                <c:pt idx="32">
                  <c:v>2.4994299999999967</c:v>
                </c:pt>
                <c:pt idx="33">
                  <c:v>2.5009299999999999</c:v>
                </c:pt>
                <c:pt idx="34">
                  <c:v>2.5022699999999967</c:v>
                </c:pt>
                <c:pt idx="35">
                  <c:v>2.5034700000000001</c:v>
                </c:pt>
                <c:pt idx="36">
                  <c:v>2.50454</c:v>
                </c:pt>
                <c:pt idx="37">
                  <c:v>2.5055000000000001</c:v>
                </c:pt>
                <c:pt idx="38">
                  <c:v>2.5063599999999977</c:v>
                </c:pt>
                <c:pt idx="39">
                  <c:v>2.5071300000000054</c:v>
                </c:pt>
                <c:pt idx="40">
                  <c:v>2.5078200000000002</c:v>
                </c:pt>
                <c:pt idx="41">
                  <c:v>2.5084399999999998</c:v>
                </c:pt>
                <c:pt idx="42">
                  <c:v>2.5089999999999999</c:v>
                </c:pt>
                <c:pt idx="43">
                  <c:v>2.5095000000000001</c:v>
                </c:pt>
                <c:pt idx="44">
                  <c:v>2.5099499999999977</c:v>
                </c:pt>
                <c:pt idx="45">
                  <c:v>2.5103599999999977</c:v>
                </c:pt>
                <c:pt idx="46">
                  <c:v>2.5107300000000001</c:v>
                </c:pt>
                <c:pt idx="47">
                  <c:v>2.5110499999999933</c:v>
                </c:pt>
                <c:pt idx="48">
                  <c:v>2.5113499999999953</c:v>
                </c:pt>
                <c:pt idx="49">
                  <c:v>2.5116199999999953</c:v>
                </c:pt>
                <c:pt idx="50">
                  <c:v>2.5118599999999933</c:v>
                </c:pt>
                <c:pt idx="51">
                  <c:v>2.5120699999999938</c:v>
                </c:pt>
                <c:pt idx="52">
                  <c:v>2.5122699999999933</c:v>
                </c:pt>
                <c:pt idx="53">
                  <c:v>2.512449999999991</c:v>
                </c:pt>
                <c:pt idx="54">
                  <c:v>2.5125999999999977</c:v>
                </c:pt>
                <c:pt idx="55">
                  <c:v>2.5127499999999943</c:v>
                </c:pt>
                <c:pt idx="56">
                  <c:v>2.5128799999999933</c:v>
                </c:pt>
                <c:pt idx="57">
                  <c:v>2.5129899999999967</c:v>
                </c:pt>
                <c:pt idx="58">
                  <c:v>2.5131000000000001</c:v>
                </c:pt>
                <c:pt idx="59">
                  <c:v>2.5131899999999998</c:v>
                </c:pt>
                <c:pt idx="60">
                  <c:v>2.51328</c:v>
                </c:pt>
                <c:pt idx="61">
                  <c:v>2.51335</c:v>
                </c:pt>
                <c:pt idx="62">
                  <c:v>2.51342</c:v>
                </c:pt>
                <c:pt idx="63">
                  <c:v>2.5134799999999977</c:v>
                </c:pt>
                <c:pt idx="64">
                  <c:v>2.5135399999999999</c:v>
                </c:pt>
                <c:pt idx="65">
                  <c:v>2.5135900000000002</c:v>
                </c:pt>
                <c:pt idx="66">
                  <c:v>2.5136399999999997</c:v>
                </c:pt>
                <c:pt idx="67">
                  <c:v>2.5136799999999977</c:v>
                </c:pt>
                <c:pt idx="68">
                  <c:v>2.5137200000000002</c:v>
                </c:pt>
                <c:pt idx="69">
                  <c:v>2.5137499999999977</c:v>
                </c:pt>
                <c:pt idx="70">
                  <c:v>2.5137800000000001</c:v>
                </c:pt>
                <c:pt idx="71">
                  <c:v>2.5138099999999977</c:v>
                </c:pt>
                <c:pt idx="72">
                  <c:v>2.51383</c:v>
                </c:pt>
                <c:pt idx="73">
                  <c:v>2.5138599999999967</c:v>
                </c:pt>
                <c:pt idx="74">
                  <c:v>2.5138799999999977</c:v>
                </c:pt>
                <c:pt idx="75">
                  <c:v>2.51389</c:v>
                </c:pt>
                <c:pt idx="76">
                  <c:v>2.5139100000000001</c:v>
                </c:pt>
                <c:pt idx="77">
                  <c:v>2.5139300000000002</c:v>
                </c:pt>
                <c:pt idx="78">
                  <c:v>2.5139399999999998</c:v>
                </c:pt>
                <c:pt idx="79">
                  <c:v>2.5139499999999977</c:v>
                </c:pt>
                <c:pt idx="80">
                  <c:v>2.51396</c:v>
                </c:pt>
                <c:pt idx="81">
                  <c:v>2.51397</c:v>
                </c:pt>
                <c:pt idx="82">
                  <c:v>2.5139800000000001</c:v>
                </c:pt>
                <c:pt idx="83">
                  <c:v>2.5139900000000002</c:v>
                </c:pt>
                <c:pt idx="84">
                  <c:v>2.5139999999999998</c:v>
                </c:pt>
                <c:pt idx="85">
                  <c:v>2.5139999999999998</c:v>
                </c:pt>
                <c:pt idx="86">
                  <c:v>2.5140099999999967</c:v>
                </c:pt>
                <c:pt idx="87">
                  <c:v>2.5140099999999967</c:v>
                </c:pt>
                <c:pt idx="88">
                  <c:v>2.5140199999999977</c:v>
                </c:pt>
                <c:pt idx="89">
                  <c:v>2.5140199999999977</c:v>
                </c:pt>
                <c:pt idx="90">
                  <c:v>2.51403</c:v>
                </c:pt>
                <c:pt idx="91">
                  <c:v>2.51403</c:v>
                </c:pt>
                <c:pt idx="92">
                  <c:v>2.51403</c:v>
                </c:pt>
                <c:pt idx="93">
                  <c:v>2.5140399999999987</c:v>
                </c:pt>
                <c:pt idx="94">
                  <c:v>2.5140399999999987</c:v>
                </c:pt>
                <c:pt idx="95">
                  <c:v>2.5140399999999987</c:v>
                </c:pt>
                <c:pt idx="96">
                  <c:v>2.5140399999999987</c:v>
                </c:pt>
                <c:pt idx="97">
                  <c:v>2.5140399999999987</c:v>
                </c:pt>
                <c:pt idx="98">
                  <c:v>2.5140499999999943</c:v>
                </c:pt>
                <c:pt idx="99">
                  <c:v>2.5140499999999943</c:v>
                </c:pt>
                <c:pt idx="100">
                  <c:v>2.5140499999999943</c:v>
                </c:pt>
                <c:pt idx="101">
                  <c:v>2.5140499999999943</c:v>
                </c:pt>
                <c:pt idx="102">
                  <c:v>2.5140499999999943</c:v>
                </c:pt>
                <c:pt idx="103">
                  <c:v>2.5140499999999943</c:v>
                </c:pt>
                <c:pt idx="104">
                  <c:v>2.5140499999999943</c:v>
                </c:pt>
                <c:pt idx="105">
                  <c:v>2.5140499999999943</c:v>
                </c:pt>
                <c:pt idx="106">
                  <c:v>2.5140599999999953</c:v>
                </c:pt>
                <c:pt idx="107">
                  <c:v>2.5140599999999953</c:v>
                </c:pt>
                <c:pt idx="108">
                  <c:v>2.5140599999999953</c:v>
                </c:pt>
                <c:pt idx="109">
                  <c:v>2.5140599999999953</c:v>
                </c:pt>
                <c:pt idx="110">
                  <c:v>2.5140599999999953</c:v>
                </c:pt>
                <c:pt idx="111">
                  <c:v>2.5140599999999953</c:v>
                </c:pt>
                <c:pt idx="112">
                  <c:v>2.5140599999999953</c:v>
                </c:pt>
                <c:pt idx="113">
                  <c:v>2.5140599999999953</c:v>
                </c:pt>
                <c:pt idx="114">
                  <c:v>2.5140599999999953</c:v>
                </c:pt>
                <c:pt idx="115">
                  <c:v>2.5140599999999953</c:v>
                </c:pt>
                <c:pt idx="116">
                  <c:v>2.5140599999999953</c:v>
                </c:pt>
                <c:pt idx="117">
                  <c:v>2.5140599999999953</c:v>
                </c:pt>
                <c:pt idx="118">
                  <c:v>2.5140599999999953</c:v>
                </c:pt>
                <c:pt idx="119">
                  <c:v>2.5140599999999953</c:v>
                </c:pt>
                <c:pt idx="120">
                  <c:v>2.5140599999999953</c:v>
                </c:pt>
              </c:numCache>
            </c:numRef>
          </c:yVal>
          <c:smooth val="1"/>
          <c:extLst>
            <c:ext xmlns:c16="http://schemas.microsoft.com/office/drawing/2014/chart" uri="{C3380CC4-5D6E-409C-BE32-E72D297353CC}">
              <c16:uniqueId val="{00000004-AA08-4522-A894-9B9A5466E92E}"/>
            </c:ext>
          </c:extLst>
        </c:ser>
        <c:ser>
          <c:idx val="5"/>
          <c:order val="5"/>
          <c:tx>
            <c:v>Total As Model</c:v>
          </c:tx>
          <c:spPr>
            <a:ln w="28575">
              <a:solidFill>
                <a:sysClr val="windowText" lastClr="000000"/>
              </a:solidFill>
              <a:prstDash val="sysDash"/>
            </a:ln>
          </c:spPr>
          <c:marker>
            <c:symbol val="none"/>
          </c:marker>
          <c:xVal>
            <c:numRef>
              <c:f>Sheet1!$B$2:$B$122</c:f>
              <c:numCache>
                <c:formatCode>General</c:formatCode>
                <c:ptCount val="1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numCache>
            </c:numRef>
          </c:xVal>
          <c:yVal>
            <c:numRef>
              <c:f>Sheet1!$E$2:$E$122</c:f>
              <c:numCache>
                <c:formatCode>General</c:formatCode>
                <c:ptCount val="121"/>
                <c:pt idx="0">
                  <c:v>5</c:v>
                </c:pt>
                <c:pt idx="1">
                  <c:v>4.2891000000000004</c:v>
                </c:pt>
                <c:pt idx="2">
                  <c:v>3.8398399999999948</c:v>
                </c:pt>
                <c:pt idx="3">
                  <c:v>3.5443899999999999</c:v>
                </c:pt>
                <c:pt idx="4">
                  <c:v>3.3432200000000001</c:v>
                </c:pt>
                <c:pt idx="5">
                  <c:v>3.20201</c:v>
                </c:pt>
                <c:pt idx="6">
                  <c:v>3.1001799999999999</c:v>
                </c:pt>
                <c:pt idx="7">
                  <c:v>3.0249899999999998</c:v>
                </c:pt>
                <c:pt idx="8">
                  <c:v>2.9682900000000001</c:v>
                </c:pt>
                <c:pt idx="9">
                  <c:v>2.9247200000000002</c:v>
                </c:pt>
                <c:pt idx="10">
                  <c:v>2.8906899999999967</c:v>
                </c:pt>
                <c:pt idx="11">
                  <c:v>2.8637100000000002</c:v>
                </c:pt>
                <c:pt idx="12">
                  <c:v>2.8420299999999967</c:v>
                </c:pt>
                <c:pt idx="13">
                  <c:v>2.8244099999999968</c:v>
                </c:pt>
                <c:pt idx="14">
                  <c:v>2.80993</c:v>
                </c:pt>
                <c:pt idx="15">
                  <c:v>2.7979300000000054</c:v>
                </c:pt>
                <c:pt idx="16">
                  <c:v>2.7878799999999999</c:v>
                </c:pt>
                <c:pt idx="17">
                  <c:v>2.77942</c:v>
                </c:pt>
                <c:pt idx="18">
                  <c:v>2.7722399999999987</c:v>
                </c:pt>
                <c:pt idx="19">
                  <c:v>2.7660999999999998</c:v>
                </c:pt>
                <c:pt idx="20">
                  <c:v>2.76084</c:v>
                </c:pt>
                <c:pt idx="21">
                  <c:v>2.7563</c:v>
                </c:pt>
                <c:pt idx="22">
                  <c:v>2.7523599999999977</c:v>
                </c:pt>
                <c:pt idx="23">
                  <c:v>2.7489400000000002</c:v>
                </c:pt>
                <c:pt idx="24">
                  <c:v>2.74594</c:v>
                </c:pt>
                <c:pt idx="25">
                  <c:v>2.7433200000000069</c:v>
                </c:pt>
                <c:pt idx="26">
                  <c:v>2.7410199999999998</c:v>
                </c:pt>
                <c:pt idx="27">
                  <c:v>2.7389899999999998</c:v>
                </c:pt>
                <c:pt idx="28">
                  <c:v>2.7372000000000001</c:v>
                </c:pt>
                <c:pt idx="29">
                  <c:v>2.7356199999999977</c:v>
                </c:pt>
                <c:pt idx="30">
                  <c:v>2.73421</c:v>
                </c:pt>
                <c:pt idx="31">
                  <c:v>2.7329599999999967</c:v>
                </c:pt>
                <c:pt idx="32">
                  <c:v>2.7318499999999943</c:v>
                </c:pt>
                <c:pt idx="33">
                  <c:v>2.7308599999999967</c:v>
                </c:pt>
                <c:pt idx="34">
                  <c:v>2.7299799999999999</c:v>
                </c:pt>
                <c:pt idx="35">
                  <c:v>2.7291900000000053</c:v>
                </c:pt>
                <c:pt idx="36">
                  <c:v>2.7284899999999999</c:v>
                </c:pt>
                <c:pt idx="37">
                  <c:v>2.7278600000000002</c:v>
                </c:pt>
                <c:pt idx="38">
                  <c:v>2.7272900000000053</c:v>
                </c:pt>
                <c:pt idx="39">
                  <c:v>2.7267899999999998</c:v>
                </c:pt>
                <c:pt idx="40">
                  <c:v>2.7263299999999999</c:v>
                </c:pt>
                <c:pt idx="41">
                  <c:v>2.7259300000000048</c:v>
                </c:pt>
                <c:pt idx="42">
                  <c:v>2.7255600000000002</c:v>
                </c:pt>
                <c:pt idx="43">
                  <c:v>2.7252299999999998</c:v>
                </c:pt>
                <c:pt idx="44">
                  <c:v>2.7249400000000001</c:v>
                </c:pt>
                <c:pt idx="45">
                  <c:v>2.7246700000000001</c:v>
                </c:pt>
                <c:pt idx="46">
                  <c:v>2.7244299999999999</c:v>
                </c:pt>
                <c:pt idx="47">
                  <c:v>2.7242199999999999</c:v>
                </c:pt>
                <c:pt idx="48">
                  <c:v>2.7240300000000048</c:v>
                </c:pt>
                <c:pt idx="49">
                  <c:v>2.7238500000000001</c:v>
                </c:pt>
                <c:pt idx="50">
                  <c:v>2.7236899999999999</c:v>
                </c:pt>
                <c:pt idx="51">
                  <c:v>2.7235499999999999</c:v>
                </c:pt>
                <c:pt idx="52">
                  <c:v>2.7234300000000053</c:v>
                </c:pt>
                <c:pt idx="53">
                  <c:v>2.7233100000000059</c:v>
                </c:pt>
                <c:pt idx="54">
                  <c:v>2.7232099999999999</c:v>
                </c:pt>
                <c:pt idx="55">
                  <c:v>2.7231200000000078</c:v>
                </c:pt>
                <c:pt idx="56">
                  <c:v>2.7230300000000054</c:v>
                </c:pt>
                <c:pt idx="57">
                  <c:v>2.72296</c:v>
                </c:pt>
                <c:pt idx="58">
                  <c:v>2.72289</c:v>
                </c:pt>
                <c:pt idx="59">
                  <c:v>2.7228300000000001</c:v>
                </c:pt>
                <c:pt idx="60">
                  <c:v>2.7227700000000001</c:v>
                </c:pt>
                <c:pt idx="61">
                  <c:v>2.7227199999999998</c:v>
                </c:pt>
                <c:pt idx="62">
                  <c:v>2.72268</c:v>
                </c:pt>
                <c:pt idx="63">
                  <c:v>2.7226399999999997</c:v>
                </c:pt>
                <c:pt idx="64">
                  <c:v>2.7225999999999999</c:v>
                </c:pt>
                <c:pt idx="65">
                  <c:v>2.7225700000000002</c:v>
                </c:pt>
                <c:pt idx="66">
                  <c:v>2.72254</c:v>
                </c:pt>
                <c:pt idx="67">
                  <c:v>2.7225100000000002</c:v>
                </c:pt>
                <c:pt idx="68">
                  <c:v>2.7224900000000001</c:v>
                </c:pt>
                <c:pt idx="69">
                  <c:v>2.7224599999999977</c:v>
                </c:pt>
                <c:pt idx="70">
                  <c:v>2.7224399999999997</c:v>
                </c:pt>
                <c:pt idx="71">
                  <c:v>2.7224300000000001</c:v>
                </c:pt>
                <c:pt idx="72">
                  <c:v>2.72241</c:v>
                </c:pt>
                <c:pt idx="73">
                  <c:v>2.7223999999999999</c:v>
                </c:pt>
                <c:pt idx="74">
                  <c:v>2.7223799999999998</c:v>
                </c:pt>
                <c:pt idx="75">
                  <c:v>2.7223700000000002</c:v>
                </c:pt>
                <c:pt idx="76">
                  <c:v>2.7223600000000001</c:v>
                </c:pt>
                <c:pt idx="77">
                  <c:v>2.72235</c:v>
                </c:pt>
                <c:pt idx="78">
                  <c:v>2.72234</c:v>
                </c:pt>
                <c:pt idx="79">
                  <c:v>2.7223299999999999</c:v>
                </c:pt>
                <c:pt idx="80">
                  <c:v>2.7223299999999999</c:v>
                </c:pt>
                <c:pt idx="81">
                  <c:v>2.7223199999999999</c:v>
                </c:pt>
                <c:pt idx="82">
                  <c:v>2.7223099999999998</c:v>
                </c:pt>
                <c:pt idx="83">
                  <c:v>2.7223099999999998</c:v>
                </c:pt>
                <c:pt idx="84">
                  <c:v>2.7223000000000002</c:v>
                </c:pt>
                <c:pt idx="85">
                  <c:v>2.7223000000000002</c:v>
                </c:pt>
                <c:pt idx="86">
                  <c:v>2.7223000000000002</c:v>
                </c:pt>
                <c:pt idx="87">
                  <c:v>2.7222900000000001</c:v>
                </c:pt>
                <c:pt idx="88">
                  <c:v>2.7222900000000001</c:v>
                </c:pt>
                <c:pt idx="89">
                  <c:v>2.7222900000000001</c:v>
                </c:pt>
                <c:pt idx="90">
                  <c:v>2.72228</c:v>
                </c:pt>
                <c:pt idx="91">
                  <c:v>2.72228</c:v>
                </c:pt>
                <c:pt idx="92">
                  <c:v>2.72228</c:v>
                </c:pt>
                <c:pt idx="93">
                  <c:v>2.72228</c:v>
                </c:pt>
                <c:pt idx="94">
                  <c:v>2.72228</c:v>
                </c:pt>
                <c:pt idx="95">
                  <c:v>2.72228</c:v>
                </c:pt>
                <c:pt idx="96">
                  <c:v>2.72227</c:v>
                </c:pt>
                <c:pt idx="97">
                  <c:v>2.72227</c:v>
                </c:pt>
                <c:pt idx="98">
                  <c:v>2.72227</c:v>
                </c:pt>
                <c:pt idx="99">
                  <c:v>2.72227</c:v>
                </c:pt>
                <c:pt idx="100">
                  <c:v>2.72227</c:v>
                </c:pt>
                <c:pt idx="101">
                  <c:v>2.72227</c:v>
                </c:pt>
                <c:pt idx="102">
                  <c:v>2.72227</c:v>
                </c:pt>
                <c:pt idx="103">
                  <c:v>2.72227</c:v>
                </c:pt>
                <c:pt idx="104">
                  <c:v>2.72227</c:v>
                </c:pt>
                <c:pt idx="105">
                  <c:v>2.72227</c:v>
                </c:pt>
                <c:pt idx="106">
                  <c:v>2.72227</c:v>
                </c:pt>
                <c:pt idx="107">
                  <c:v>2.72227</c:v>
                </c:pt>
                <c:pt idx="108">
                  <c:v>2.7222599999999977</c:v>
                </c:pt>
                <c:pt idx="109">
                  <c:v>2.7222599999999977</c:v>
                </c:pt>
                <c:pt idx="110">
                  <c:v>2.7222599999999977</c:v>
                </c:pt>
                <c:pt idx="111">
                  <c:v>2.7222599999999977</c:v>
                </c:pt>
                <c:pt idx="112">
                  <c:v>2.7222599999999977</c:v>
                </c:pt>
                <c:pt idx="113">
                  <c:v>2.7222599999999977</c:v>
                </c:pt>
                <c:pt idx="114">
                  <c:v>2.7222599999999977</c:v>
                </c:pt>
                <c:pt idx="115">
                  <c:v>2.7222599999999977</c:v>
                </c:pt>
                <c:pt idx="116">
                  <c:v>2.7222599999999977</c:v>
                </c:pt>
                <c:pt idx="117">
                  <c:v>2.7222599999999977</c:v>
                </c:pt>
                <c:pt idx="118">
                  <c:v>2.7222599999999977</c:v>
                </c:pt>
                <c:pt idx="119">
                  <c:v>2.7222599999999977</c:v>
                </c:pt>
                <c:pt idx="120">
                  <c:v>2.7222599999999977</c:v>
                </c:pt>
              </c:numCache>
            </c:numRef>
          </c:yVal>
          <c:smooth val="1"/>
          <c:extLst>
            <c:ext xmlns:c16="http://schemas.microsoft.com/office/drawing/2014/chart" uri="{C3380CC4-5D6E-409C-BE32-E72D297353CC}">
              <c16:uniqueId val="{00000005-AA08-4522-A894-9B9A5466E92E}"/>
            </c:ext>
          </c:extLst>
        </c:ser>
        <c:dLbls>
          <c:showLegendKey val="0"/>
          <c:showVal val="0"/>
          <c:showCatName val="0"/>
          <c:showSerName val="0"/>
          <c:showPercent val="0"/>
          <c:showBubbleSize val="0"/>
        </c:dLbls>
        <c:axId val="944111440"/>
        <c:axId val="944112000"/>
      </c:scatterChart>
      <c:valAx>
        <c:axId val="944111440"/>
        <c:scaling>
          <c:orientation val="minMax"/>
          <c:max val="120"/>
          <c:min val="0"/>
        </c:scaling>
        <c:delete val="0"/>
        <c:axPos val="b"/>
        <c:majorGridlines>
          <c:spPr>
            <a:ln w="0" cap="rnd">
              <a:solidFill>
                <a:sysClr val="windowText" lastClr="000000"/>
              </a:solidFill>
              <a:prstDash val="sysDot"/>
            </a:ln>
          </c:spPr>
        </c:majorGridlines>
        <c:title>
          <c:tx>
            <c:rich>
              <a:bodyPr/>
              <a:lstStyle/>
              <a:p>
                <a:pPr>
                  <a:defRPr/>
                </a:pPr>
                <a:r>
                  <a:rPr lang="en-US"/>
                  <a:t>Time (h)</a:t>
                </a:r>
                <a:endParaRPr lang="en-US" baseline="30000"/>
              </a:p>
            </c:rich>
          </c:tx>
          <c:overlay val="0"/>
        </c:title>
        <c:numFmt formatCode="General" sourceLinked="1"/>
        <c:majorTickMark val="cross"/>
        <c:minorTickMark val="none"/>
        <c:tickLblPos val="nextTo"/>
        <c:spPr>
          <a:noFill/>
          <a:ln w="9525" cap="rnd">
            <a:solidFill>
              <a:schemeClr val="tx1"/>
            </a:solidFill>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944112000"/>
        <c:crosses val="autoZero"/>
        <c:crossBetween val="midCat"/>
        <c:majorUnit val="20"/>
        <c:minorUnit val="5"/>
      </c:valAx>
      <c:valAx>
        <c:axId val="944112000"/>
        <c:scaling>
          <c:orientation val="minMax"/>
          <c:max val="5"/>
          <c:min val="0"/>
        </c:scaling>
        <c:delete val="0"/>
        <c:axPos val="l"/>
        <c:majorGridlines>
          <c:spPr>
            <a:ln w="0" cap="rnd">
              <a:solidFill>
                <a:schemeClr val="tx1"/>
              </a:solidFill>
              <a:prstDash val="sysDot"/>
            </a:ln>
          </c:spPr>
        </c:majorGridlines>
        <c:title>
          <c:tx>
            <c:rich>
              <a:bodyPr/>
              <a:lstStyle/>
              <a:p>
                <a:pPr>
                  <a:defRPr/>
                </a:pPr>
                <a:r>
                  <a:rPr lang="en-US"/>
                  <a:t>As Conc. (mg.L</a:t>
                </a:r>
                <a:r>
                  <a:rPr lang="en-US" baseline="30000"/>
                  <a:t>-1</a:t>
                </a:r>
                <a:r>
                  <a:rPr lang="en-US" baseline="0"/>
                  <a:t>)</a:t>
                </a:r>
              </a:p>
            </c:rich>
          </c:tx>
          <c:overlay val="0"/>
        </c:title>
        <c:numFmt formatCode="General" sourceLinked="1"/>
        <c:majorTickMark val="cross"/>
        <c:minorTickMark val="none"/>
        <c:tickLblPos val="nextTo"/>
        <c:spPr>
          <a:ln cap="rnd">
            <a:solidFill>
              <a:schemeClr val="tx1"/>
            </a:solidFill>
          </a:ln>
        </c:spPr>
        <c:crossAx val="944111440"/>
        <c:crosses val="autoZero"/>
        <c:crossBetween val="midCat"/>
        <c:majorUnit val="1"/>
        <c:minorUnit val="0.5"/>
      </c:valAx>
      <c:spPr>
        <a:noFill/>
        <a:ln w="9525" cap="rnd">
          <a:solidFill>
            <a:sysClr val="windowText" lastClr="000000"/>
          </a:solidFill>
          <a:prstDash val="solid"/>
        </a:ln>
      </c:spPr>
    </c:plotArea>
    <c:legend>
      <c:legendPos val="r"/>
      <c:layout>
        <c:manualLayout>
          <c:xMode val="edge"/>
          <c:yMode val="edge"/>
          <c:x val="0.66660739282589965"/>
          <c:y val="5.663349372995042E-2"/>
          <c:w val="0.2740120297462818"/>
          <c:h val="0.2892847769028889"/>
        </c:manualLayout>
      </c:layout>
      <c:overlay val="0"/>
    </c:legend>
    <c:plotVisOnly val="1"/>
    <c:dispBlanksAs val="gap"/>
    <c:showDLblsOverMax val="0"/>
  </c:chart>
  <c:spPr>
    <a:ln>
      <a:noFill/>
    </a:ln>
  </c:spPr>
  <c:txPr>
    <a:bodyPr/>
    <a:lstStyle/>
    <a:p>
      <a:pPr>
        <a:defRPr baseline="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TotalTime>
  <Pages>1</Pages>
  <Words>560</Words>
  <Characters>3193</Characters>
  <Application>Microsoft Office Word</Application>
  <DocSecurity>0</DocSecurity>
  <Lines>26</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Numerical modeling of nitrate reduction using of low cost organic carbon source</vt:lpstr>
      <vt:lpstr>Numerical modeling of nitrate reduction using of low cost organic carbon source</vt:lpstr>
    </vt:vector>
  </TitlesOfParts>
  <Company>KYUSHU</Company>
  <LinksUpToDate>false</LinksUpToDate>
  <CharactersWithSpaces>3746</CharactersWithSpaces>
  <SharedDoc>false</SharedDoc>
  <HLinks>
    <vt:vector size="6" baseType="variant">
      <vt:variant>
        <vt:i4>5636107</vt:i4>
      </vt:variant>
      <vt:variant>
        <vt:i4>39</vt:i4>
      </vt:variant>
      <vt:variant>
        <vt:i4>0</vt:i4>
      </vt:variant>
      <vt:variant>
        <vt:i4>5</vt:i4>
      </vt:variant>
      <vt:variant>
        <vt:lpwstr>http://www.tj.kyushu-u.ac.jp/en/igses/ieices/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modeling of nitrate reduction using of low cost organic carbon source</dc:title>
  <dc:subject/>
  <dc:creator>OSAMA</dc:creator>
  <cp:keywords/>
  <cp:lastModifiedBy>osama eljamal</cp:lastModifiedBy>
  <cp:revision>6</cp:revision>
  <cp:lastPrinted>2018-05-17T01:24:00Z</cp:lastPrinted>
  <dcterms:created xsi:type="dcterms:W3CDTF">2019-06-28T06:05:00Z</dcterms:created>
  <dcterms:modified xsi:type="dcterms:W3CDTF">2024-01-04T08:37:00Z</dcterms:modified>
</cp:coreProperties>
</file>